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第十</w:t>
      </w:r>
      <w:r>
        <w:rPr>
          <w:rFonts w:hint="default" w:ascii="Times New Roman" w:hAnsi="Times New Roman" w:eastAsia="方正小标宋_GBK" w:cs="Times New Roman"/>
          <w:sz w:val="44"/>
          <w:szCs w:val="44"/>
          <w:lang w:eastAsia="zh-CN"/>
        </w:rPr>
        <w:t>七</w:t>
      </w:r>
      <w:r>
        <w:rPr>
          <w:rFonts w:hint="default" w:ascii="Times New Roman" w:hAnsi="Times New Roman" w:eastAsia="方正小标宋_GBK" w:cs="Times New Roman"/>
          <w:sz w:val="44"/>
          <w:szCs w:val="44"/>
        </w:rPr>
        <w:t>届“挑战杯”四川省</w:t>
      </w:r>
      <w:bookmarkStart w:id="0" w:name="_GoBack"/>
      <w:bookmarkEnd w:id="0"/>
      <w:r>
        <w:rPr>
          <w:rFonts w:hint="default" w:ascii="Times New Roman" w:hAnsi="Times New Roman" w:eastAsia="方正小标宋_GBK" w:cs="Times New Roman"/>
          <w:sz w:val="44"/>
          <w:szCs w:val="44"/>
        </w:rPr>
        <w:t>大学生课外学术科技作品竞赛章程</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第一条</w:t>
      </w:r>
      <w:r>
        <w:rPr>
          <w:rFonts w:hint="default" w:ascii="Times New Roman" w:hAnsi="Times New Roman" w:eastAsia="方正仿宋简体" w:cs="Times New Roman"/>
          <w:sz w:val="32"/>
          <w:szCs w:val="32"/>
          <w:lang w:val="en-US" w:eastAsia="zh-CN"/>
        </w:rPr>
        <w:t xml:space="preserve"> “挑战杯”四川省大学生课外学术科技作品竞赛是由团省委联合省委组织部、省科协、教育厅、省社科院、科技厅、人力资源社会保障厅、省学联共同主办的大学生课外学术科技活动中一项具有导向性、示范性和群众性的竞赛活动，每两年举办一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第二条</w:t>
      </w:r>
      <w:r>
        <w:rPr>
          <w:rFonts w:hint="default" w:ascii="Times New Roman" w:hAnsi="Times New Roman" w:eastAsia="方正仿宋简体" w:cs="Times New Roman"/>
          <w:sz w:val="32"/>
          <w:szCs w:val="32"/>
          <w:lang w:val="en-US" w:eastAsia="zh-CN"/>
        </w:rPr>
        <w:t xml:space="preserve"> 竞赛的宗旨：崇尚科学、追求真知、勤奋学习、锐意创新、迎接挑战。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第三条</w:t>
      </w:r>
      <w:r>
        <w:rPr>
          <w:rFonts w:hint="default" w:ascii="Times New Roman" w:hAnsi="Times New Roman" w:eastAsia="方正仿宋简体" w:cs="Times New Roman"/>
          <w:sz w:val="32"/>
          <w:szCs w:val="32"/>
          <w:lang w:val="en-US" w:eastAsia="zh-CN"/>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第四条</w:t>
      </w:r>
      <w:r>
        <w:rPr>
          <w:rFonts w:hint="default" w:ascii="Times New Roman" w:hAnsi="Times New Roman" w:eastAsia="方正仿宋简体" w:cs="Times New Roman"/>
          <w:sz w:val="32"/>
          <w:szCs w:val="32"/>
          <w:lang w:val="en-US" w:eastAsia="zh-CN"/>
        </w:rPr>
        <w:t xml:space="preserve">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组织机构及其职责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第五条</w:t>
      </w:r>
      <w:r>
        <w:rPr>
          <w:rFonts w:hint="default" w:ascii="Times New Roman" w:hAnsi="Times New Roman" w:eastAsia="方正仿宋简体" w:cs="Times New Roman"/>
          <w:sz w:val="32"/>
          <w:szCs w:val="32"/>
          <w:lang w:val="en-US" w:eastAsia="zh-CN"/>
        </w:rPr>
        <w:t xml:space="preserve"> 竞赛设立领导小组，由主办单位和承办单位的有关负责人组成，负责指导竞赛活动，并对竞赛组织委员会和竞赛评审委员会提交的问题进行协调和裁决。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 xml:space="preserve">第六条 </w:t>
      </w:r>
      <w:r>
        <w:rPr>
          <w:rFonts w:hint="default" w:ascii="Times New Roman" w:hAnsi="Times New Roman" w:eastAsia="方正仿宋简体" w:cs="Times New Roman"/>
          <w:sz w:val="32"/>
          <w:szCs w:val="32"/>
          <w:lang w:val="en-US" w:eastAsia="zh-CN"/>
        </w:rPr>
        <w:t>竞赛设立组织委员会，由主办单位、承办单位和上一届“挑战杯”四川省竞赛高校团体积分前20名高校有关负责人组成。竞赛组织委员会设主任、副主任若干名。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第七条</w:t>
      </w:r>
      <w:r>
        <w:rPr>
          <w:rFonts w:hint="default" w:ascii="Times New Roman" w:hAnsi="Times New Roman" w:eastAsia="方正仿宋简体" w:cs="Times New Roman"/>
          <w:sz w:val="32"/>
          <w:szCs w:val="32"/>
          <w:lang w:val="en-US" w:eastAsia="zh-CN"/>
        </w:rPr>
        <w:t xml:space="preserve"> 竞赛组织委员会的职责如下：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审议、修改竞赛的章程；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筹集竞赛组织、评审、奖励所需的经费；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投票表决竞赛承办高校；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议决其它应由组委会议决的事项。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第八条</w:t>
      </w:r>
      <w:r>
        <w:rPr>
          <w:rFonts w:hint="default" w:ascii="Times New Roman" w:hAnsi="Times New Roman" w:eastAsia="方正仿宋简体" w:cs="Times New Roman"/>
          <w:sz w:val="32"/>
          <w:szCs w:val="32"/>
          <w:lang w:val="en-US" w:eastAsia="zh-CN"/>
        </w:rPr>
        <w:t xml:space="preserve"> 竞赛组织委员会下设秘书处，负责按照组委会通过的章程组织竞赛活动并向组委会报告工作。秘书处设秘书长若干名，由主办单位、承办单位有关领导担任。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 xml:space="preserve">第九条 </w:t>
      </w:r>
      <w:r>
        <w:rPr>
          <w:rFonts w:hint="default" w:ascii="Times New Roman" w:hAnsi="Times New Roman" w:eastAsia="方正仿宋简体" w:cs="Times New Roman"/>
          <w:sz w:val="32"/>
          <w:szCs w:val="32"/>
          <w:lang w:val="en-US" w:eastAsia="zh-CN"/>
        </w:rPr>
        <w:t>竞赛设立评审委员会，由主办单位聘请的相关学科具有高级职称的非高校专家或高科技企业的技术骨干组成。竞赛评审委员会设主任、副主任若干名。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竞赛评审委员会经主办单位批准成立，有权在本章程和评审规则所规定的原则下，独立开展评审工作。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第十条</w:t>
      </w:r>
      <w:r>
        <w:rPr>
          <w:rFonts w:hint="default" w:ascii="Times New Roman" w:hAnsi="Times New Roman" w:eastAsia="方正仿宋简体" w:cs="Times New Roman"/>
          <w:sz w:val="32"/>
          <w:szCs w:val="32"/>
          <w:lang w:val="en-US" w:eastAsia="zh-CN"/>
        </w:rPr>
        <w:t xml:space="preserve"> 竞赛评审委员会职责如下：</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在本章程和评审规则基础上制定评审实施细则；</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审看参赛作品及其演示，对作者进行问辩；</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确定参赛作品获奖等次。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第十一条</w:t>
      </w:r>
      <w:r>
        <w:rPr>
          <w:rFonts w:hint="default" w:ascii="Times New Roman" w:hAnsi="Times New Roman" w:eastAsia="方正仿宋简体" w:cs="Times New Roman"/>
          <w:sz w:val="32"/>
          <w:szCs w:val="32"/>
          <w:lang w:val="en-US" w:eastAsia="zh-CN"/>
        </w:rPr>
        <w:t xml:space="preserve"> 竞赛设立作品资格评判委员会，设立主任、评审委员若干名。资格评判委员会主任由竞赛评审委员会副主任担任，资格评判委员会会议由资格评判委员会主任负责召集。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第十二条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作品资格评判委员会职责如下:</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授权竞赛组委会秘书处在预审开始至终审决赛结束前接受参赛学校和学生、评委、社会各界人士对参赛作品资格的质疑投诉；</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在终审决赛结束前，如出现被质疑投诉作品，资格评判委员会应召开会议，对被质疑投诉的参赛作品的作者及所属学校进行质询；</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投票表决被质疑投诉作品是否具备参赛资格。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第十三条</w:t>
      </w:r>
      <w:r>
        <w:rPr>
          <w:rFonts w:hint="default" w:ascii="Times New Roman" w:hAnsi="Times New Roman" w:eastAsia="方正仿宋简体" w:cs="Times New Roman"/>
          <w:sz w:val="32"/>
          <w:szCs w:val="32"/>
          <w:lang w:val="en-US" w:eastAsia="zh-CN"/>
        </w:rPr>
        <w:t xml:space="preserve"> 竞赛组委会秘书处对质疑投诉者的姓名、单位予以保密。质疑投诉者需提供相关证据或明确的线索。资格评判委员会开会时，到会人数超过2/3方可进行表决；表决时实行回避制度；若参加表决人数中有2/3以上认为该作品不具备参赛资格，则评委会对该作品不予评审，其参赛得分随之取消。竞赛组委会秘书处不受理匿名质疑投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终审决赛结束后，对作品的质疑投诉继续按本章程第三十五条执行。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第十四条</w:t>
      </w:r>
      <w:r>
        <w:rPr>
          <w:rFonts w:hint="default" w:ascii="Times New Roman" w:hAnsi="Times New Roman" w:eastAsia="方正仿宋简体" w:cs="Times New Roman"/>
          <w:sz w:val="32"/>
          <w:szCs w:val="32"/>
          <w:lang w:val="en-US" w:eastAsia="zh-CN"/>
        </w:rPr>
        <w:t xml:space="preserve"> 各高校应举办与省级竞赛接轨的届次化的学生课外学术科技作品竞赛。各高校分别设立组织协调委员会和评审委员会，负责本校竞赛的组织协调、参赛作品资格审查和作品初评等有关工作。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参赛资格与作品申报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第十五条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凡在举办竞赛终审决赛的当年6月1日以前正式注册的全日制非成人教育的各类高等院校在校专科生、本科生、硕士研究生（不含在职研究生）都可申报作品参赛。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第十六条</w:t>
      </w:r>
      <w:r>
        <w:rPr>
          <w:rFonts w:hint="default" w:ascii="Times New Roman" w:hAnsi="Times New Roman" w:eastAsia="方正仿宋简体" w:cs="Times New Roman"/>
          <w:sz w:val="32"/>
          <w:szCs w:val="32"/>
          <w:lang w:val="en-US" w:eastAsia="zh-CN"/>
        </w:rPr>
        <w:t xml:space="preserve"> 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增加作品自查环节，申报学校签订承诺书，承诺作品符合“挑战杯”竞赛申报作品的要求，接受竞赛组委会检查。对不符合申报要求或严重违规作品的惩戒措施详见第六章。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毕业设计和课程设计（论文）、学年论文和学位论文、国际竞赛中获奖的作品、获国家级奖励成果（含本竞赛主办单位参与举办的其它全国性竞赛的获奖作品）等均不在申报范围之列。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第十七条</w:t>
      </w:r>
      <w:r>
        <w:rPr>
          <w:rFonts w:hint="default" w:ascii="Times New Roman" w:hAnsi="Times New Roman" w:eastAsia="方正仿宋简体" w:cs="Times New Roman"/>
          <w:sz w:val="32"/>
          <w:szCs w:val="32"/>
          <w:lang w:val="en-US" w:eastAsia="zh-CN"/>
        </w:rPr>
        <w:t xml:space="preserve"> 申报参赛的作品分为自然科学类学术论文、哲学社会科学类社会调查报告、科技发明制作三类。自然科学类学术论文作者限本专科生。哲学社会科学类支持围绕发展成就、文明文化、美丽中国、民生福祉、中国之治等</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个组别形成社会调查报告。科技发明制作类分为A、B两类：A类指科技含量较高、制作投入较大的作品；B类指投入较少，且为生产技术或社会生活带来便利的小发明、小制作等。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第十八条</w:t>
      </w:r>
      <w:r>
        <w:rPr>
          <w:rFonts w:hint="default" w:ascii="Times New Roman" w:hAnsi="Times New Roman" w:eastAsia="方正仿宋简体" w:cs="Times New Roman"/>
          <w:sz w:val="32"/>
          <w:szCs w:val="32"/>
          <w:lang w:val="en-US" w:eastAsia="zh-CN"/>
        </w:rPr>
        <w:t xml:space="preserve"> 参赛作品涉及下列内容时，必须由申报者提供有关部门的证明材料，否则不予评审：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动植物新品种的发现或培育，须有省级以上农科部门或科研院所开具证明；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对国家保护动植物的研究，须有省级以上林业部门开具证明，证明该项研究的过程中未产生对所研究的动植物繁衍、生长不利的影响；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新药物的研究须有卫生行政部门授权机构的鉴定证明；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医疗卫生研究须通过专家鉴定，并最好附有在公开发行的专业性杂志上发表过的文章；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涉及燃气用具等与人民生命财产安全有关用具的研究，须有国家相应行政部门授权机构的认定证明。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第十九条</w:t>
      </w:r>
      <w:r>
        <w:rPr>
          <w:rFonts w:hint="eastAsia" w:ascii="Times New Roman" w:hAnsi="Times New Roman" w:eastAsia="方正仿宋简体" w:cs="Times New Roman"/>
          <w:sz w:val="32"/>
          <w:szCs w:val="32"/>
          <w:lang w:val="en-US" w:eastAsia="zh-CN"/>
        </w:rPr>
        <w:t xml:space="preserve"> 参赛作品必须于申报前将作品项目名称、参赛学生和指导教师等关键信息在学校官方网站主页上进行不少于5天的公示，并将公示截图随作品一同报送。多个学校学生合作申报的项目，必须注明学生、学校信息并在学生所在学校均进行公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 xml:space="preserve">第二十条 </w:t>
      </w:r>
      <w:r>
        <w:rPr>
          <w:rFonts w:hint="eastAsia" w:ascii="Times New Roman" w:hAnsi="Times New Roman" w:eastAsia="方正仿宋简体" w:cs="Times New Roman"/>
          <w:sz w:val="32"/>
          <w:szCs w:val="32"/>
          <w:lang w:val="en-US" w:eastAsia="zh-CN"/>
        </w:rPr>
        <w:t>参赛作品必须由两名具有高级专业技术职称的指导教师（或教研组）推荐，经本校学籍管理、教务、科研管理部门审核确认。每件作品可由不超过3名教师指导完成。作品完成竞赛申报后，作品题目、作者、指导教师等关键信息不得变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第二十一条</w:t>
      </w:r>
      <w:r>
        <w:rPr>
          <w:rFonts w:hint="default" w:ascii="Times New Roman" w:hAnsi="Times New Roman" w:eastAsia="方正仿宋简体" w:cs="Times New Roman"/>
          <w:sz w:val="32"/>
          <w:szCs w:val="32"/>
          <w:lang w:val="en-US" w:eastAsia="zh-CN"/>
        </w:rPr>
        <w:t xml:space="preserve"> 参加上届省赛的高校最多可报送10件作品，未参加上届省赛的高校最多可报送3件作品，入围上届全国决赛的高校可在10件作品的基础上增报5件作品，</w:t>
      </w:r>
      <w:r>
        <w:rPr>
          <w:rFonts w:hint="eastAsia" w:ascii="Times New Roman" w:hAnsi="Times New Roman" w:eastAsia="方正仿宋简体" w:cs="Times New Roman"/>
          <w:sz w:val="32"/>
          <w:szCs w:val="32"/>
          <w:lang w:val="en-US" w:eastAsia="zh-CN"/>
        </w:rPr>
        <w:t>在上届全国赛中组织工作突出、获得表扬的高校可在10件作品的基础上增报7件作品，</w:t>
      </w:r>
      <w:r>
        <w:rPr>
          <w:rFonts w:hint="default" w:ascii="Times New Roman" w:hAnsi="Times New Roman" w:eastAsia="方正仿宋简体" w:cs="Times New Roman"/>
          <w:sz w:val="32"/>
          <w:szCs w:val="32"/>
          <w:lang w:val="en-US" w:eastAsia="zh-CN"/>
        </w:rPr>
        <w:t>本届全国赛发起高校可在10件作品的基础上增报10件作品（</w:t>
      </w:r>
      <w:r>
        <w:rPr>
          <w:rFonts w:hint="eastAsia" w:ascii="Times New Roman" w:hAnsi="Times New Roman" w:eastAsia="方正仿宋简体" w:cs="Times New Roman"/>
          <w:sz w:val="32"/>
          <w:szCs w:val="32"/>
          <w:lang w:val="en-US" w:eastAsia="zh-CN"/>
        </w:rPr>
        <w:t>直报国赛作品包含在学校所分配名额中</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且应</w:t>
      </w:r>
      <w:r>
        <w:rPr>
          <w:rFonts w:hint="default" w:ascii="Times New Roman" w:hAnsi="Times New Roman" w:eastAsia="方正仿宋简体" w:cs="Times New Roman"/>
          <w:sz w:val="32"/>
          <w:szCs w:val="32"/>
          <w:lang w:val="en-US" w:eastAsia="zh-CN"/>
        </w:rPr>
        <w:t>参加省赛评审）；</w:t>
      </w:r>
      <w:r>
        <w:rPr>
          <w:rFonts w:hint="eastAsia" w:ascii="Times New Roman" w:hAnsi="Times New Roman" w:eastAsia="方正仿宋简体" w:cs="Times New Roman"/>
          <w:sz w:val="32"/>
          <w:szCs w:val="32"/>
          <w:lang w:val="en-US" w:eastAsia="zh-CN"/>
        </w:rPr>
        <w:t>每所高校</w:t>
      </w:r>
      <w:r>
        <w:rPr>
          <w:rFonts w:hint="default" w:ascii="Times New Roman" w:hAnsi="Times New Roman" w:eastAsia="方正仿宋简体" w:cs="Times New Roman"/>
          <w:sz w:val="32"/>
          <w:szCs w:val="32"/>
          <w:lang w:val="en-US" w:eastAsia="zh-CN"/>
        </w:rPr>
        <w:t>每人限报1件，作品中研究生的作品不得超过作品总数的1/2，如研究生作品数超过比例要求，违反规定的，取消该校所有研究生作品参赛资格且不得补报，但如学校只招收研究生的，或只有1件作品参加竞赛的，不受作品比例限制。参赛作品须经过本校组织协调委员会进行资格及形式审查和本校评审委员会初步评定，方可上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展览、交流、转让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第二十二条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竞赛评审委员会推荐通过预审的一定比例的自然科学类学术论文、哲学社会科学类社会调查报告和学术论文及全部科技发明制作类作品参加展览。科技发明制作类作品须有实物或模型参展。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u w:val="none"/>
          <w:lang w:val="en-US" w:eastAsia="zh-CN"/>
        </w:rPr>
      </w:pPr>
      <w:r>
        <w:rPr>
          <w:rFonts w:hint="default" w:ascii="Times New Roman" w:hAnsi="Times New Roman" w:eastAsia="楷体" w:cs="Times New Roman"/>
          <w:sz w:val="32"/>
          <w:szCs w:val="32"/>
          <w:u w:val="none"/>
          <w:lang w:val="en-US" w:eastAsia="zh-CN"/>
        </w:rPr>
        <w:t>第二十</w:t>
      </w:r>
      <w:r>
        <w:rPr>
          <w:rFonts w:hint="eastAsia" w:ascii="Times New Roman" w:hAnsi="Times New Roman" w:eastAsia="楷体" w:cs="Times New Roman"/>
          <w:sz w:val="32"/>
          <w:szCs w:val="32"/>
          <w:u w:val="none"/>
          <w:lang w:val="en-US" w:eastAsia="zh-CN"/>
        </w:rPr>
        <w:t>三</w:t>
      </w:r>
      <w:r>
        <w:rPr>
          <w:rFonts w:hint="default" w:ascii="Times New Roman" w:hAnsi="Times New Roman" w:eastAsia="楷体" w:cs="Times New Roman"/>
          <w:sz w:val="32"/>
          <w:szCs w:val="32"/>
          <w:u w:val="none"/>
          <w:lang w:val="en-US" w:eastAsia="zh-CN"/>
        </w:rPr>
        <w:t>条</w:t>
      </w:r>
      <w:r>
        <w:rPr>
          <w:rFonts w:hint="default" w:ascii="Times New Roman" w:hAnsi="Times New Roman" w:eastAsia="方正仿宋简体" w:cs="Times New Roman"/>
          <w:sz w:val="32"/>
          <w:szCs w:val="32"/>
          <w:u w:val="none"/>
          <w:lang w:val="en-US" w:eastAsia="zh-CN"/>
        </w:rPr>
        <w:t xml:space="preserve"> 竞赛组委会将在竞赛的终审决赛阶段组织多种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 xml:space="preserve">形式的学术交流和工作交流活动。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第二十</w:t>
      </w:r>
      <w:r>
        <w:rPr>
          <w:rFonts w:hint="eastAsia"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val="en-US" w:eastAsia="zh-CN"/>
        </w:rPr>
        <w:t>条</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竞赛组织委员会配套举办“红色专项”活动，鼓励学生通过社会实践学习宣传贯彻党的二十大精神、感受新时代中国特色社会主义发展伟大成就，形成调研报告；举办“黑科技”展示活动，鼓励学生提出和论证充满想象力、创造力的新思路、新方法、新技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楷体" w:cs="Times New Roman"/>
          <w:sz w:val="32"/>
          <w:szCs w:val="32"/>
          <w:lang w:val="en-US" w:eastAsia="zh-CN"/>
        </w:rPr>
        <w:t>第二十</w:t>
      </w:r>
      <w:r>
        <w:rPr>
          <w:rFonts w:hint="eastAsia"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lang w:val="en-US" w:eastAsia="zh-CN"/>
        </w:rPr>
        <w:t>条</w:t>
      </w:r>
      <w:r>
        <w:rPr>
          <w:rFonts w:hint="default" w:ascii="Times New Roman" w:hAnsi="Times New Roman" w:eastAsia="方正仿宋简体" w:cs="Times New Roman"/>
          <w:sz w:val="32"/>
          <w:szCs w:val="32"/>
          <w:lang w:val="en-US" w:eastAsia="zh-CN"/>
        </w:rPr>
        <w:t xml:space="preserve"> 竞赛组织委员会在终审决赛期间，举办成果转让活动；成果是否转让不作为作品评审获奖的依据。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第二十六条</w:t>
      </w:r>
      <w:r>
        <w:rPr>
          <w:rFonts w:hint="eastAsia" w:ascii="Times New Roman" w:hAnsi="Times New Roman" w:eastAsia="方正仿宋简体" w:cs="Times New Roman"/>
          <w:sz w:val="32"/>
          <w:szCs w:val="32"/>
          <w:lang w:val="en-US" w:eastAsia="zh-CN"/>
        </w:rPr>
        <w:t xml:space="preserve"> 竞赛组织委员会拥有组织转让获奖作品的优先权。成果产权及利益分配由学校和作者协商确定。竞赛组织委员会可结集出版竞赛获奖作品及评委评语。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奖励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widowControl/>
        <w:suppressLineNumbers w:val="0"/>
        <w:ind w:firstLine="640" w:firstLineChars="200"/>
        <w:jc w:val="left"/>
        <w:rPr>
          <w:rFonts w:hint="default" w:ascii="Times New Roman" w:hAnsi="Times New Roman" w:eastAsia="方正仿宋简体" w:cs="Times New Roman"/>
          <w:sz w:val="32"/>
          <w:szCs w:val="32"/>
          <w:highlight w:val="none"/>
          <w:u w:val="single"/>
          <w:lang w:val="en-US" w:eastAsia="zh-CN"/>
        </w:rPr>
      </w:pPr>
      <w:r>
        <w:rPr>
          <w:rFonts w:hint="eastAsia" w:ascii="Times New Roman" w:hAnsi="Times New Roman" w:eastAsia="楷体" w:cs="Times New Roman"/>
          <w:sz w:val="32"/>
          <w:szCs w:val="32"/>
          <w:lang w:val="en-US" w:eastAsia="zh-CN"/>
        </w:rPr>
        <w:t>第二十七条</w:t>
      </w:r>
      <w:r>
        <w:rPr>
          <w:rFonts w:hint="eastAsia" w:ascii="Times New Roman" w:hAnsi="Times New Roman" w:eastAsia="方正仿宋简体" w:cs="Times New Roman"/>
          <w:sz w:val="32"/>
          <w:szCs w:val="32"/>
          <w:highlight w:val="none"/>
          <w:lang w:val="en-US" w:eastAsia="zh-CN"/>
        </w:rPr>
        <w:t xml:space="preserve"> </w:t>
      </w:r>
      <w:r>
        <w:rPr>
          <w:rFonts w:ascii="Times New Roman" w:hAnsi="Times New Roman" w:eastAsia="方正仿宋简体" w:cs="Times New Roman"/>
          <w:sz w:val="32"/>
          <w:szCs w:val="32"/>
          <w:highlight w:val="none"/>
        </w:rPr>
        <w:t>参赛的自然科学类学术论文、哲学社会科学类社会调查报告、科技发明制作A类和B类作品各设</w:t>
      </w:r>
      <w:r>
        <w:rPr>
          <w:rFonts w:hint="eastAsia" w:ascii="Times New Roman" w:hAnsi="Times New Roman" w:eastAsia="方正仿宋简体" w:cs="Times New Roman"/>
          <w:sz w:val="32"/>
          <w:szCs w:val="32"/>
          <w:highlight w:val="none"/>
        </w:rPr>
        <w:t>特等奖、</w:t>
      </w:r>
      <w:r>
        <w:rPr>
          <w:rFonts w:ascii="Times New Roman" w:hAnsi="Times New Roman" w:eastAsia="方正仿宋简体" w:cs="Times New Roman"/>
          <w:sz w:val="32"/>
          <w:szCs w:val="32"/>
          <w:highlight w:val="none"/>
        </w:rPr>
        <w:t>一等奖、二等奖、三等奖。各等次奖分别约占各类</w:t>
      </w:r>
      <w:r>
        <w:rPr>
          <w:rFonts w:hint="eastAsia" w:ascii="Times New Roman" w:hAnsi="Times New Roman" w:eastAsia="方正仿宋简体" w:cs="Times New Roman"/>
          <w:sz w:val="32"/>
          <w:szCs w:val="32"/>
          <w:highlight w:val="none"/>
          <w:lang w:val="en-US" w:eastAsia="zh-CN"/>
        </w:rPr>
        <w:t>获奖</w:t>
      </w:r>
      <w:r>
        <w:rPr>
          <w:rFonts w:ascii="Times New Roman" w:hAnsi="Times New Roman" w:eastAsia="方正仿宋简体" w:cs="Times New Roman"/>
          <w:sz w:val="32"/>
          <w:szCs w:val="32"/>
          <w:highlight w:val="none"/>
        </w:rPr>
        <w:t>作品总数的5%、10%、2</w:t>
      </w:r>
      <w:r>
        <w:rPr>
          <w:rFonts w:hint="eastAsia" w:ascii="Times New Roman" w:hAnsi="Times New Roman" w:eastAsia="方正仿宋简体" w:cs="Times New Roman"/>
          <w:sz w:val="32"/>
          <w:szCs w:val="32"/>
          <w:highlight w:val="none"/>
          <w:lang w:val="en-US" w:eastAsia="zh-CN"/>
        </w:rPr>
        <w:t>5</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60</w:t>
      </w:r>
      <w:r>
        <w:rPr>
          <w:rFonts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本专科生、硕士研究生两个学历层次作者的作品获奖数与其报送作品数成正比例。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第二十八条</w:t>
      </w:r>
      <w:r>
        <w:rPr>
          <w:rFonts w:hint="eastAsia" w:ascii="Times New Roman" w:hAnsi="Times New Roman" w:eastAsia="方正仿宋简体" w:cs="Times New Roman"/>
          <w:sz w:val="32"/>
          <w:szCs w:val="32"/>
          <w:lang w:val="en-US" w:eastAsia="zh-CN"/>
        </w:rPr>
        <w:t xml:space="preserve"> 入围获奖的作品，确认资格有效的，由竞赛组织委员会向作品颁发证书（证书体现作者和指导老师姓名）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第二十九条</w:t>
      </w:r>
      <w:r>
        <w:rPr>
          <w:rFonts w:hint="eastAsia" w:ascii="Times New Roman" w:hAnsi="Times New Roman" w:eastAsia="方正仿宋简体" w:cs="Times New Roman"/>
          <w:sz w:val="32"/>
          <w:szCs w:val="32"/>
          <w:lang w:val="en-US" w:eastAsia="zh-CN"/>
        </w:rPr>
        <w:t xml:space="preserve"> 竞赛以学校为单位计算参赛得分，团体总分按名次排列，按位次公布。团体总分由“现场作品得分”和“校级赛事组织得分”两部分组成。最高荣誉“挑战杯”授予竞赛团体成绩最佳的学校，如遇团体总分并</w:t>
      </w:r>
      <w:r>
        <w:rPr>
          <w:rFonts w:hint="eastAsia" w:ascii="Times New Roman" w:hAnsi="Times New Roman" w:eastAsia="方正仿宋简体" w:cs="Times New Roman"/>
          <w:sz w:val="32"/>
          <w:szCs w:val="32"/>
          <w:highlight w:val="none"/>
          <w:lang w:val="en-US" w:eastAsia="zh-CN"/>
        </w:rPr>
        <w:t>列第一，以获特等奖的数量排序，以此类推至三等奖。设“优胜杯”若干，分别授予团体总分二至七名的学校。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简体" w:cs="Times New Roman"/>
          <w:sz w:val="32"/>
          <w:szCs w:val="32"/>
          <w:highlight w:val="yellow"/>
          <w:lang w:val="en-US" w:eastAsia="zh-CN"/>
        </w:rPr>
      </w:pPr>
      <w:r>
        <w:rPr>
          <w:rFonts w:hint="eastAsia" w:ascii="Times New Roman" w:hAnsi="Times New Roman" w:eastAsia="楷体" w:cs="Times New Roman"/>
          <w:sz w:val="32"/>
          <w:szCs w:val="32"/>
          <w:lang w:val="en-US" w:eastAsia="zh-CN"/>
        </w:rPr>
        <w:t>第三十条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highlight w:val="none"/>
          <w:lang w:val="en-US" w:eastAsia="zh-CN"/>
        </w:rPr>
        <w:t>各等次奖计分方法如下：特等奖作品每件计100分，一等奖作品每件计70分，二等奖作品每件计40分，三等奖作品每件计20分；竞赛鼓励高校将校级竞赛作品进行网络报备，网络报备作品每件计1分，最高不超过100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楷体" w:cs="Times New Roman"/>
          <w:sz w:val="32"/>
          <w:szCs w:val="32"/>
          <w:lang w:val="en-US" w:eastAsia="zh-CN"/>
        </w:rPr>
        <w:t xml:space="preserve">第三十一条 </w:t>
      </w:r>
      <w:r>
        <w:rPr>
          <w:rFonts w:hint="eastAsia" w:ascii="Times New Roman" w:hAnsi="Times New Roman" w:eastAsia="方正仿宋简体" w:cs="Times New Roman"/>
          <w:sz w:val="32"/>
          <w:szCs w:val="32"/>
          <w:highlight w:val="none"/>
          <w:lang w:val="en-US" w:eastAsia="zh-CN"/>
        </w:rPr>
        <w:t>校级赛事组织得分采取加分制，主要考察出台 激励学生创新政策，联合教务、科研等部门举办校级赛事，校级赛事学校重视、指导教师积极参与、广泛覆盖学生、氛围营造及宣传，高校上传有评委完整评语作品到竞赛网站等情况。校级赛事组织得分参考全国组织委员会秘书处制定的《校级赛事组织得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第三十二条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highlight w:val="none"/>
          <w:lang w:val="en-US" w:eastAsia="zh-CN"/>
        </w:rPr>
        <w:t>竞赛设5个高校进步显著奖，激励原本竞赛基础较为薄弱、取得显著进步的高校。进步显著奖由主办单位根据相邻届次竞赛成绩，综合考虑团体总分、参赛作品数量等指标增幅情况进行评定。高校进步显著奖由竞赛组织委员会秘书处提名，报竞赛组织委员会确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第三十三条</w:t>
      </w:r>
      <w:r>
        <w:rPr>
          <w:rFonts w:hint="eastAsia" w:ascii="Times New Roman" w:hAnsi="Times New Roman" w:eastAsia="方正仿宋简体" w:cs="Times New Roman"/>
          <w:sz w:val="32"/>
          <w:szCs w:val="32"/>
          <w:lang w:val="en-US" w:eastAsia="zh-CN"/>
        </w:rPr>
        <w:t xml:space="preserve"> 竞赛设20个优秀组织奖，其中本科院校名额为15个，高职院校名额为5个，奖励在竞赛组织工作中表现突出、参赛整体成绩优秀的高校。优秀组织奖由竞赛组织委员会秘书处提名，报竞赛组织委员会确认。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 xml:space="preserve">第三十四条 </w:t>
      </w:r>
      <w:r>
        <w:rPr>
          <w:rFonts w:hint="eastAsia" w:ascii="Times New Roman" w:hAnsi="Times New Roman" w:eastAsia="方正仿宋简体" w:cs="Times New Roman"/>
          <w:sz w:val="32"/>
          <w:szCs w:val="32"/>
          <w:lang w:val="en-US" w:eastAsia="zh-CN"/>
        </w:rPr>
        <w:t>竞赛设55个优秀指导教师奖，获优秀组织奖的高校每校可报2人。除优秀组织奖获奖高校外，积分总排名前10的高校每校可报1人。获进步显著奖的高校每校可报1人。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惩戒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第三十五条</w:t>
      </w:r>
      <w:r>
        <w:rPr>
          <w:rFonts w:hint="eastAsia" w:ascii="Times New Roman" w:hAnsi="Times New Roman" w:eastAsia="方正仿宋简体" w:cs="Times New Roman"/>
          <w:sz w:val="32"/>
          <w:szCs w:val="32"/>
          <w:lang w:val="en-US" w:eastAsia="zh-CN"/>
        </w:rPr>
        <w:t xml:space="preserve"> 参赛作品存在舞弊、抄袭、作假，将国家课题、教师科研成果包装成学生项目的，均视为严重违规行为。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第三十六条</w:t>
      </w:r>
      <w:r>
        <w:rPr>
          <w:rFonts w:hint="eastAsia" w:ascii="Times New Roman" w:hAnsi="Times New Roman" w:eastAsia="方正仿宋简体" w:cs="Times New Roman"/>
          <w:sz w:val="32"/>
          <w:szCs w:val="32"/>
          <w:lang w:val="en-US" w:eastAsia="zh-CN"/>
        </w:rPr>
        <w:t xml:space="preserve"> 参赛作品在公示环节，知情公众如发现作品不符合申报要求或者存在严重违规行为，各高校要严肃对待、一经查实取消作品参赛资格。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第三十七条</w:t>
      </w:r>
      <w:r>
        <w:rPr>
          <w:rFonts w:hint="eastAsia" w:ascii="Times New Roman" w:hAnsi="Times New Roman" w:eastAsia="方正仿宋简体" w:cs="Times New Roman"/>
          <w:sz w:val="32"/>
          <w:szCs w:val="32"/>
          <w:lang w:val="en-US" w:eastAsia="zh-CN"/>
        </w:rPr>
        <w:t xml:space="preserve"> 参赛作品如在参赛环节被检查或者经举报核实发现作品不符合申报要求，取消作品参赛资格，该学校不得补报作品；被检查或者经举报核实发现作品存在严重违规行为，取消作品参赛资格，该学校不得补报作品，该学校团体总分为零，并取消该学校参评“挑战杯”、“优胜杯”及其他集体奖项的资格，视情节严重取消该学校下届联合发起单位资格或者参赛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第三十八条</w:t>
      </w:r>
      <w:r>
        <w:rPr>
          <w:rFonts w:hint="eastAsia" w:ascii="Times New Roman" w:hAnsi="Times New Roman" w:eastAsia="方正仿宋简体" w:cs="Times New Roman"/>
          <w:sz w:val="32"/>
          <w:szCs w:val="32"/>
          <w:lang w:val="en-US" w:eastAsia="zh-CN"/>
        </w:rPr>
        <w:t xml:space="preserve"> 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挑战杯”、“优胜杯”或者其他集体奖项，视情节严重取消该学校下届联合发起单位资格或者参赛资格，并通报全国组织委员会成员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第三十九条</w:t>
      </w:r>
      <w:r>
        <w:rPr>
          <w:rFonts w:hint="eastAsia" w:ascii="Times New Roman" w:hAnsi="Times New Roman" w:eastAsia="方正仿宋简体" w:cs="Times New Roman"/>
          <w:sz w:val="32"/>
          <w:szCs w:val="32"/>
          <w:lang w:val="en-US" w:eastAsia="zh-CN"/>
        </w:rPr>
        <w:t xml:space="preserve"> 承办竞赛的高校应当按照当届组织委员会通过的申办办法，申请承办下一届竞赛活动；获得历届“挑战杯”和“优胜杯”的学校具有承办下届竞赛的优先权；当届组织委员会通过一定的民主程序产生下届承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第四十条</w:t>
      </w:r>
      <w:r>
        <w:rPr>
          <w:rFonts w:hint="eastAsia" w:ascii="Times New Roman" w:hAnsi="Times New Roman" w:eastAsia="方正仿宋简体" w:cs="Times New Roman"/>
          <w:sz w:val="32"/>
          <w:szCs w:val="32"/>
          <w:lang w:val="en-US" w:eastAsia="zh-CN"/>
        </w:rPr>
        <w:t xml:space="preserve"> 竞赛承办单位有权以竞赛组织委员会名义寻求赞助。最高荣誉“挑战杯”不得用于寻求赞助。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第四十一条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fldChar w:fldCharType="begin"/>
      </w:r>
      <w:r>
        <w:rPr>
          <w:rFonts w:hint="eastAsia" w:ascii="Times New Roman" w:hAnsi="Times New Roman" w:eastAsia="方正仿宋简体" w:cs="Times New Roman"/>
          <w:sz w:val="32"/>
          <w:szCs w:val="32"/>
          <w:lang w:val="en-US" w:eastAsia="zh-CN"/>
        </w:rPr>
        <w:instrText xml:space="preserve"> HYPERLINK "http://www.tiaozhanbei.net/为\“挑战杯\”竞赛专用网站。" </w:instrText>
      </w:r>
      <w:r>
        <w:rPr>
          <w:rFonts w:hint="eastAsia" w:ascii="Times New Roman" w:hAnsi="Times New Roman" w:eastAsia="方正仿宋简体" w:cs="Times New Roman"/>
          <w:sz w:val="32"/>
          <w:szCs w:val="32"/>
          <w:lang w:val="en-US" w:eastAsia="zh-CN"/>
        </w:rPr>
        <w:fldChar w:fldCharType="separate"/>
      </w:r>
      <w:r>
        <w:rPr>
          <w:rStyle w:val="4"/>
          <w:rFonts w:hint="eastAsia" w:ascii="Times New Roman" w:hAnsi="Times New Roman" w:eastAsia="方正仿宋简体" w:cs="Times New Roman"/>
          <w:sz w:val="32"/>
          <w:szCs w:val="32"/>
          <w:lang w:val="en-US" w:eastAsia="zh-CN"/>
        </w:rPr>
        <w:t>http://www.tiaozhanbei.net/为“挑战杯”竞赛专用网站。</w:t>
      </w:r>
      <w:r>
        <w:rPr>
          <w:rFonts w:hint="eastAsia" w:ascii="Times New Roman" w:hAnsi="Times New Roman" w:eastAsia="方正仿宋简体" w:cs="Times New Roman"/>
          <w:sz w:val="32"/>
          <w:szCs w:val="32"/>
          <w:lang w:val="en-US" w:eastAsia="zh-CN"/>
        </w:rPr>
        <w:fldChar w:fldCharType="end"/>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楷体" w:cs="Times New Roman"/>
          <w:sz w:val="32"/>
          <w:szCs w:val="32"/>
          <w:lang w:val="en-US" w:eastAsia="zh-CN"/>
        </w:rPr>
        <w:t>第四十二条</w:t>
      </w:r>
      <w:r>
        <w:rPr>
          <w:rFonts w:hint="eastAsia" w:ascii="Times New Roman" w:hAnsi="Times New Roman" w:eastAsia="方正仿宋简体" w:cs="Times New Roman"/>
          <w:sz w:val="32"/>
          <w:szCs w:val="32"/>
          <w:lang w:val="en-US" w:eastAsia="zh-CN"/>
        </w:rPr>
        <w:t xml:space="preserve"> 本章程自竞赛组织委员会审议通过之日起生效，由竞赛主办单位及竞赛组委会秘书处负责解释。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Times New Roman" w:hAnsi="Times New Roman" w:eastAsia="方正仿宋简体" w:cs="Times New Roman"/>
          <w:sz w:val="32"/>
          <w:szCs w:val="32"/>
          <w:lang w:val="en-US" w:eastAsia="zh-CN"/>
        </w:rPr>
      </w:pPr>
    </w:p>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82C24"/>
    <w:multiLevelType w:val="singleLevel"/>
    <w:tmpl w:val="ABD82C24"/>
    <w:lvl w:ilvl="0" w:tentative="0">
      <w:start w:val="1"/>
      <w:numFmt w:val="chineseCounting"/>
      <w:suff w:val="nothing"/>
      <w:lvlText w:val="（%1）"/>
      <w:lvlJc w:val="left"/>
      <w:rPr>
        <w:rFonts w:hint="eastAsia"/>
      </w:rPr>
    </w:lvl>
  </w:abstractNum>
  <w:abstractNum w:abstractNumId="1">
    <w:nsid w:val="B7F94D9A"/>
    <w:multiLevelType w:val="singleLevel"/>
    <w:tmpl w:val="B7F94D9A"/>
    <w:lvl w:ilvl="0" w:tentative="0">
      <w:start w:val="1"/>
      <w:numFmt w:val="chineseCounting"/>
      <w:suff w:val="space"/>
      <w:lvlText w:val="第%1章"/>
      <w:lvlJc w:val="left"/>
      <w:rPr>
        <w:rFonts w:hint="eastAsia"/>
      </w:rPr>
    </w:lvl>
  </w:abstractNum>
  <w:abstractNum w:abstractNumId="2">
    <w:nsid w:val="11ABD854"/>
    <w:multiLevelType w:val="singleLevel"/>
    <w:tmpl w:val="11ABD85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TQ4YjM5N2NhNjU2NWViZTZhOTRiMDkxOThkOGYifQ=="/>
  </w:docVars>
  <w:rsids>
    <w:rsidRoot w:val="431251EF"/>
    <w:rsid w:val="4312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2023-03-23T02:08:00Z</dcterms:created>
  <dc:creator>星空下的</dc:creator>
  <cp:lastModifiedBy>星空下的</cp:lastModifiedBy>
  <dcterms:modified xsi:type="dcterms:W3CDTF">2023-03-23T02:08:51Z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D09A03EEE8DE4DC2BC48B8FF7E50FF2A</vt:lpwstr>
  </property>
</Properties>
</file>