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76F3" w14:textId="77777777" w:rsidR="0006470A" w:rsidRDefault="00000000">
      <w:pPr>
        <w:spacing w:line="360" w:lineRule="auto"/>
        <w:rPr>
          <w:rFonts w:ascii="黑体" w:eastAsia="黑体" w:hAnsi="黑体" w:cs="黑体"/>
          <w:sz w:val="28"/>
          <w:szCs w:val="28"/>
        </w:rPr>
      </w:pPr>
      <w:r>
        <w:rPr>
          <w:rFonts w:ascii="黑体" w:eastAsia="黑体" w:hAnsi="黑体" w:cs="黑体" w:hint="eastAsia"/>
          <w:sz w:val="28"/>
          <w:szCs w:val="28"/>
        </w:rPr>
        <w:t>附件3：</w:t>
      </w:r>
    </w:p>
    <w:p w14:paraId="53414C13" w14:textId="77777777" w:rsidR="0006470A" w:rsidRDefault="00000000">
      <w:pPr>
        <w:spacing w:line="360" w:lineRule="auto"/>
        <w:jc w:val="center"/>
        <w:rPr>
          <w:rFonts w:ascii="黑体" w:eastAsia="黑体" w:hAnsi="黑体" w:cs="黑体"/>
          <w:sz w:val="36"/>
          <w:szCs w:val="36"/>
        </w:rPr>
      </w:pPr>
      <w:r>
        <w:rPr>
          <w:rFonts w:ascii="黑体" w:eastAsia="黑体" w:hAnsi="黑体" w:cs="黑体" w:hint="eastAsia"/>
          <w:sz w:val="36"/>
          <w:szCs w:val="36"/>
        </w:rPr>
        <w:t>2022“五粮液杯”中国大学生酒类创新创意大赛</w:t>
      </w:r>
    </w:p>
    <w:p w14:paraId="0B10623A" w14:textId="77777777" w:rsidR="0006470A" w:rsidRDefault="00000000">
      <w:pPr>
        <w:spacing w:line="360" w:lineRule="auto"/>
        <w:jc w:val="center"/>
        <w:rPr>
          <w:rFonts w:ascii="黑体" w:eastAsia="黑体" w:hAnsi="黑体" w:cs="黑体"/>
          <w:sz w:val="36"/>
          <w:szCs w:val="36"/>
        </w:rPr>
      </w:pPr>
      <w:r>
        <w:rPr>
          <w:rFonts w:ascii="黑体" w:eastAsia="黑体" w:hAnsi="黑体" w:cs="黑体" w:hint="eastAsia"/>
          <w:sz w:val="36"/>
          <w:szCs w:val="36"/>
        </w:rPr>
        <w:t>包装营销创意比赛实施方案</w:t>
      </w:r>
    </w:p>
    <w:p w14:paraId="0E94FF13" w14:textId="77777777" w:rsidR="0006470A" w:rsidRDefault="00000000">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酒类产品包装（酒瓶、外包装等）是美酒的载体，包装和营销是消费者对酒类产品的第一认知，新颖、优雅、实用的包装设计和营销使美酒未开已芬芳满堂。优秀的设计和营销是创新能力在经济及社会发展中的体现，是运用创新理念将技术、艺术与文化等相结合并转化为现实生产力的核心环节，也是提高产品竞争力的有效手段。</w:t>
      </w:r>
    </w:p>
    <w:p w14:paraId="050A31A1" w14:textId="77777777" w:rsidR="0006470A" w:rsidRDefault="00000000">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包装营销创意比赛参赛选手需结合五粮液元素进行包装营销设计。参赛作品应展现新设计理念与五粮液相关元素个性化融合，进行方案展示（PPT展示和路演）与评比（现场评分），由评委按照相关标准评分。大赛将邀请国内知名设计师、品牌大师、酒类行业领军人物担任评委。 </w:t>
      </w:r>
    </w:p>
    <w:p w14:paraId="731EAA07"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1、比赛内容</w:t>
      </w:r>
    </w:p>
    <w:p w14:paraId="7A6DC5C0"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参赛选手需结合五粮液文化元素进行包装营销设计。参赛作品应展现新设计理念与五粮液相关元素个性化融合。结合市场需求和调查，进行包装设计与营销策划创意设计，进行方案展示（</w:t>
      </w:r>
      <w:r>
        <w:rPr>
          <w:rFonts w:ascii="仿宋" w:eastAsia="仿宋" w:hAnsi="仿宋" w:cs="仿宋"/>
          <w:sz w:val="32"/>
          <w:szCs w:val="32"/>
        </w:rPr>
        <w:t>PPT路演）与评比（现场评分），由评委按照相关标准评分</w:t>
      </w:r>
      <w:r>
        <w:rPr>
          <w:rFonts w:ascii="仿宋" w:eastAsia="仿宋" w:hAnsi="仿宋" w:cs="仿宋" w:hint="eastAsia"/>
          <w:sz w:val="32"/>
          <w:szCs w:val="32"/>
        </w:rPr>
        <w:t>；参赛作品以“套”为单位，</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套作品可为一个策划设计，一个外包装设计或一只酒瓶，或同瓶型设计的系列产品，包含多只不同颜色或图案花纹设计，但使用唯一参赛编号；作品原创承诺书、作品文案（创意说明）、效果图（</w:t>
      </w:r>
      <w:r>
        <w:rPr>
          <w:rFonts w:ascii="仿宋" w:eastAsia="仿宋" w:hAnsi="仿宋" w:cs="仿宋"/>
          <w:sz w:val="32"/>
          <w:szCs w:val="32"/>
        </w:rPr>
        <w:t>PNG格式透明背景，1套作</w:t>
      </w:r>
      <w:proofErr w:type="gramStart"/>
      <w:r>
        <w:rPr>
          <w:rFonts w:ascii="仿宋" w:eastAsia="仿宋" w:hAnsi="仿宋" w:cs="仿宋"/>
          <w:sz w:val="32"/>
          <w:szCs w:val="32"/>
        </w:rPr>
        <w:t>品提供</w:t>
      </w:r>
      <w:proofErr w:type="gramEnd"/>
      <w:r>
        <w:rPr>
          <w:rFonts w:ascii="仿宋" w:eastAsia="仿宋" w:hAnsi="仿宋" w:cs="仿宋"/>
          <w:sz w:val="32"/>
          <w:szCs w:val="32"/>
        </w:rPr>
        <w:t>至少3张图片，充分展</w:t>
      </w:r>
      <w:r>
        <w:rPr>
          <w:rFonts w:ascii="仿宋" w:eastAsia="仿宋" w:hAnsi="仿宋" w:cs="仿宋"/>
          <w:sz w:val="32"/>
          <w:szCs w:val="32"/>
        </w:rPr>
        <w:lastRenderedPageBreak/>
        <w:t>示作品属性；大小＜10M）；</w:t>
      </w:r>
    </w:p>
    <w:p w14:paraId="604856A7"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2、报名要求</w:t>
      </w:r>
    </w:p>
    <w:p w14:paraId="523120E7"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本届大赛面向省内高等院校学生进行作品征集。本比赛由参赛选手以团体进行参赛，每队3-7人，路演时只能1人上场</w:t>
      </w:r>
      <w:r>
        <w:rPr>
          <w:rFonts w:ascii="仿宋" w:eastAsia="仿宋" w:hAnsi="仿宋" w:cs="仿宋"/>
          <w:sz w:val="32"/>
          <w:szCs w:val="32"/>
        </w:rPr>
        <w:t>。</w:t>
      </w:r>
    </w:p>
    <w:p w14:paraId="41C82EC3"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报送实物一律不予退还；</w:t>
      </w:r>
    </w:p>
    <w:p w14:paraId="37B6B772"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同一参赛队伍只能填报</w:t>
      </w:r>
      <w:proofErr w:type="gramStart"/>
      <w:r>
        <w:rPr>
          <w:rFonts w:ascii="仿宋" w:eastAsia="仿宋" w:hAnsi="仿宋" w:cs="仿宋"/>
          <w:sz w:val="32"/>
          <w:szCs w:val="32"/>
        </w:rPr>
        <w:t>一</w:t>
      </w:r>
      <w:proofErr w:type="gramEnd"/>
      <w:r>
        <w:rPr>
          <w:rFonts w:ascii="仿宋" w:eastAsia="仿宋" w:hAnsi="仿宋" w:cs="仿宋"/>
          <w:sz w:val="32"/>
          <w:szCs w:val="32"/>
        </w:rPr>
        <w:t>套作品；</w:t>
      </w:r>
    </w:p>
    <w:p w14:paraId="77A86AA0"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参赛队伍自行携带实物作品，组委会概不接受任何作品快递；</w:t>
      </w:r>
    </w:p>
    <w:p w14:paraId="130F70A4"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本活动最终解释权在法律允许范围内归主办方和承办方所有，主办方和承办方拥有优先报道权；</w:t>
      </w:r>
    </w:p>
    <w:p w14:paraId="52610870"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五粮液集团有限公司拥有作品转移转化优先权，可与著作权人协商优先签订合同。</w:t>
      </w:r>
    </w:p>
    <w:p w14:paraId="6F8D87C0"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3、其他事项</w:t>
      </w:r>
    </w:p>
    <w:p w14:paraId="239DD380" w14:textId="77777777" w:rsidR="0006470A" w:rsidRDefault="00000000">
      <w:pPr>
        <w:spacing w:line="560" w:lineRule="exact"/>
        <w:ind w:firstLineChars="200" w:firstLine="640"/>
        <w:textAlignment w:val="baseline"/>
        <w:rPr>
          <w:rFonts w:ascii="仿宋" w:eastAsia="仿宋" w:hAnsi="仿宋" w:cs="Times New Roman"/>
          <w:sz w:val="32"/>
          <w:szCs w:val="32"/>
        </w:rPr>
      </w:pPr>
      <w:r>
        <w:rPr>
          <w:rFonts w:ascii="仿宋" w:eastAsia="仿宋" w:hAnsi="仿宋" w:cs="Times New Roman" w:hint="eastAsia"/>
          <w:sz w:val="32"/>
          <w:szCs w:val="32"/>
        </w:rPr>
        <w:t>依据国家有关法律法规，凡主动提交作品的“参赛者”或“作者”，主办方认为其已经对所提交的作品版权归属作如下不可撤销声明：</w:t>
      </w:r>
    </w:p>
    <w:p w14:paraId="78C7ADFD" w14:textId="77777777" w:rsidR="0006470A" w:rsidRDefault="00000000">
      <w:pPr>
        <w:spacing w:line="560" w:lineRule="exact"/>
        <w:ind w:firstLineChars="200" w:firstLine="640"/>
        <w:textAlignment w:val="baseline"/>
        <w:rPr>
          <w:rFonts w:ascii="仿宋" w:eastAsia="仿宋" w:hAnsi="仿宋" w:cs="Times New Roman"/>
          <w:sz w:val="32"/>
          <w:szCs w:val="32"/>
        </w:rPr>
      </w:pPr>
      <w:r>
        <w:rPr>
          <w:rFonts w:ascii="仿宋" w:eastAsia="仿宋" w:hAnsi="仿宋" w:cs="Times New Roman" w:hint="eastAsia"/>
          <w:sz w:val="32"/>
          <w:szCs w:val="32"/>
        </w:rPr>
        <w:t>（1）、原创声明 参赛作品是参赛者原创作品，未侵犯任何他人的任何专利、著作权、商标权及其他知识产权，否则主办方将取消其参赛、入围奖与获奖资格，收回奖金、奖品及保留追究法律责任的权利；</w:t>
      </w:r>
    </w:p>
    <w:p w14:paraId="1F6AB09C" w14:textId="77777777" w:rsidR="0006470A" w:rsidRDefault="00000000">
      <w:pPr>
        <w:spacing w:line="560" w:lineRule="exact"/>
        <w:ind w:firstLineChars="200" w:firstLine="640"/>
        <w:textAlignment w:val="baseline"/>
        <w:rPr>
          <w:rFonts w:ascii="仿宋" w:eastAsia="仿宋" w:hAnsi="仿宋" w:cs="Times New Roman"/>
          <w:sz w:val="32"/>
          <w:szCs w:val="32"/>
        </w:rPr>
      </w:pPr>
      <w:r>
        <w:rPr>
          <w:rFonts w:ascii="仿宋" w:eastAsia="仿宋" w:hAnsi="仿宋" w:cs="Times New Roman" w:hint="eastAsia"/>
          <w:sz w:val="32"/>
          <w:szCs w:val="32"/>
        </w:rPr>
        <w:t>（2）、参赛作品知识产权归属 参赛作品的作者享有对所属大赛作品方案进行再设计、生产、销售、展示、出版和宣传等权利。大赛主办方对所有参赛作品拥有展示、推广和宣传等权利。其它任何单位和个人未经授权不得以任何形式</w:t>
      </w:r>
      <w:r>
        <w:rPr>
          <w:rFonts w:ascii="仿宋" w:eastAsia="仿宋" w:hAnsi="仿宋" w:cs="Times New Roman" w:hint="eastAsia"/>
          <w:sz w:val="32"/>
          <w:szCs w:val="32"/>
        </w:rPr>
        <w:lastRenderedPageBreak/>
        <w:t>对作品转让、复制、转载、传播、摘编、出版、发行、许可使用等。</w:t>
      </w:r>
    </w:p>
    <w:p w14:paraId="5B060126" w14:textId="77777777" w:rsidR="0006470A" w:rsidRDefault="00000000">
      <w:pPr>
        <w:spacing w:line="560" w:lineRule="exact"/>
        <w:ind w:firstLineChars="200" w:firstLine="640"/>
        <w:textAlignment w:val="baseline"/>
        <w:rPr>
          <w:rFonts w:ascii="仿宋" w:eastAsia="仿宋" w:hAnsi="仿宋" w:cs="Times New Roman"/>
          <w:sz w:val="32"/>
          <w:szCs w:val="32"/>
        </w:rPr>
      </w:pPr>
      <w:r>
        <w:rPr>
          <w:rFonts w:ascii="仿宋" w:eastAsia="仿宋" w:hAnsi="仿宋" w:cs="Times New Roman" w:hint="eastAsia"/>
          <w:sz w:val="32"/>
          <w:szCs w:val="32"/>
        </w:rPr>
        <w:t>（3）、所有参赛单位/个人报名时需提交相关设计版权所属证明，并仔细阅读以上内容，充分理解并表示同意本届大赛的组委会拥有对所有奖项的最终裁定权。</w:t>
      </w:r>
    </w:p>
    <w:p w14:paraId="1066FCA7"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4、竞赛规则</w:t>
      </w:r>
    </w:p>
    <w:p w14:paraId="59F75115"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选手出场顺序按抽签决定，由竞赛现场裁判组织参赛选手抽签，按选手各自所抽签号为各项目比赛出场顺序，并由各参赛选手对抽签结果签字确认。然后，按抽取的号数，选手进行竞赛前的各项准备工作。</w:t>
      </w:r>
    </w:p>
    <w:p w14:paraId="7FEE783A"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各项目比赛前10分钟，参赛选手须带齐学生证(必须有学生本人照片且加盖学校公章)、身份证和参赛证，资格审查时应主动提供给评委和工作人员检查。证明材料不一致或不符合要求的提请组委会决定是否取消参赛资格。</w:t>
      </w:r>
    </w:p>
    <w:p w14:paraId="7A8754F5" w14:textId="6CF4F01E"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sidR="00F37BF2">
        <w:rPr>
          <w:rFonts w:ascii="仿宋" w:eastAsia="仿宋" w:hAnsi="仿宋" w:cs="仿宋" w:hint="eastAsia"/>
          <w:sz w:val="32"/>
          <w:szCs w:val="32"/>
        </w:rPr>
        <w:t>路演</w:t>
      </w:r>
      <w:r>
        <w:rPr>
          <w:rFonts w:ascii="仿宋" w:eastAsia="仿宋" w:hAnsi="仿宋" w:cs="仿宋"/>
          <w:sz w:val="32"/>
          <w:szCs w:val="32"/>
        </w:rPr>
        <w:t>过程中，选手若需休息、饮水或去洗手间，一律视为弃权。</w:t>
      </w:r>
    </w:p>
    <w:p w14:paraId="34D34001"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选手结束竞赛，</w:t>
      </w:r>
      <w:proofErr w:type="gramStart"/>
      <w:r>
        <w:rPr>
          <w:rFonts w:ascii="仿宋" w:eastAsia="仿宋" w:hAnsi="仿宋" w:cs="仿宋"/>
          <w:sz w:val="32"/>
          <w:szCs w:val="32"/>
        </w:rPr>
        <w:t>应举手</w:t>
      </w:r>
      <w:proofErr w:type="gramEnd"/>
      <w:r>
        <w:rPr>
          <w:rFonts w:ascii="仿宋" w:eastAsia="仿宋" w:hAnsi="仿宋" w:cs="仿宋"/>
          <w:sz w:val="32"/>
          <w:szCs w:val="32"/>
        </w:rPr>
        <w:t>向裁判员示意。选手结束比赛后不得再进行任何加工并不得提前离开赛场。</w:t>
      </w:r>
    </w:p>
    <w:p w14:paraId="274B29BA"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5、成绩评定</w:t>
      </w:r>
    </w:p>
    <w:p w14:paraId="098C835D"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竞赛由评委根据评分细则进行评判。以每位选手总成绩为依据按顺序排名。</w:t>
      </w:r>
    </w:p>
    <w:p w14:paraId="6E984280"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6、申诉与仲裁</w:t>
      </w:r>
    </w:p>
    <w:p w14:paraId="623C1FC9"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参赛选手对不符合竞赛规定的设备、工具和备件，有失公正的检测、评判、奖励，以及对工作人员的违规行为等，均可提出申诉。</w:t>
      </w:r>
    </w:p>
    <w:p w14:paraId="379C4274"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选手申诉均须通过本代表队领队、指导老师，按照规定时间限用书面形式向仲裁委员会(或裁判组)提出。仲裁委员会认真负责地受理选手申诉，并将处理意见通知领队或当事人。</w:t>
      </w:r>
    </w:p>
    <w:p w14:paraId="00AE2D38"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仲裁委员会的裁决为最终裁决，参赛选手不得因申诉或对处理意见不服而停止竞赛，否则按弃权处理。</w:t>
      </w:r>
    </w:p>
    <w:p w14:paraId="35095EFD"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7、其他事项</w:t>
      </w:r>
    </w:p>
    <w:p w14:paraId="438DD8BE"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（1）报名费用、参赛费用、会务费用、宣传费用等由大赛组委会承担；</w:t>
      </w:r>
    </w:p>
    <w:p w14:paraId="33C0C548"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（2）所有入围作品图纸以及包装产品设计组所有参赛作品实物样品将在网络进行公开展示；</w:t>
      </w:r>
    </w:p>
    <w:p w14:paraId="055D2BA2"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（3）依据国家有关法律法规，凡主动提交作品的“参赛者”或“作者”，主办方认为其已经对所提交的作品版权归属作如下不可撤销声明：</w:t>
      </w:r>
    </w:p>
    <w:p w14:paraId="625F9C79"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 1 \* GB3 </w:instrText>
      </w:r>
      <w:r>
        <w:rPr>
          <w:rFonts w:ascii="仿宋" w:eastAsia="仿宋" w:hAnsi="仿宋" w:cs="仿宋" w:hint="eastAsia"/>
          <w:sz w:val="32"/>
          <w:szCs w:val="32"/>
        </w:rPr>
        <w:fldChar w:fldCharType="separate"/>
      </w:r>
      <w:r>
        <w:rPr>
          <w:rFonts w:ascii="仿宋" w:eastAsia="仿宋" w:hAnsi="仿宋" w:cs="仿宋" w:hint="eastAsia"/>
          <w:sz w:val="32"/>
          <w:szCs w:val="32"/>
        </w:rPr>
        <w:t>①</w:t>
      </w:r>
      <w:r>
        <w:rPr>
          <w:rFonts w:ascii="仿宋" w:eastAsia="仿宋" w:hAnsi="仿宋" w:cs="仿宋" w:hint="eastAsia"/>
          <w:sz w:val="32"/>
          <w:szCs w:val="32"/>
        </w:rPr>
        <w:fldChar w:fldCharType="end"/>
      </w:r>
      <w:r>
        <w:rPr>
          <w:rFonts w:ascii="仿宋" w:eastAsia="仿宋" w:hAnsi="仿宋" w:cs="仿宋" w:hint="eastAsia"/>
          <w:sz w:val="32"/>
          <w:szCs w:val="32"/>
        </w:rPr>
        <w:t>原创声明 参赛作品是参赛者原创作品，未侵犯任何他人的任何专利、著作权、商标权及其他知识产权，否则主办方将取消其参赛、入围奖与获奖资格，收回奖金、奖品及保留追究法律责任的权利；</w:t>
      </w:r>
    </w:p>
    <w:p w14:paraId="0902B7C2"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 2 \* GB3 </w:instrText>
      </w:r>
      <w:r>
        <w:rPr>
          <w:rFonts w:ascii="仿宋" w:eastAsia="仿宋" w:hAnsi="仿宋" w:cs="仿宋" w:hint="eastAsia"/>
          <w:sz w:val="32"/>
          <w:szCs w:val="32"/>
        </w:rPr>
        <w:fldChar w:fldCharType="separate"/>
      </w:r>
      <w:r>
        <w:rPr>
          <w:rFonts w:ascii="仿宋" w:eastAsia="仿宋" w:hAnsi="仿宋" w:cs="仿宋" w:hint="eastAsia"/>
          <w:sz w:val="32"/>
          <w:szCs w:val="32"/>
        </w:rPr>
        <w:t>②</w:t>
      </w:r>
      <w:r>
        <w:rPr>
          <w:rFonts w:ascii="仿宋" w:eastAsia="仿宋" w:hAnsi="仿宋" w:cs="仿宋" w:hint="eastAsia"/>
          <w:sz w:val="32"/>
          <w:szCs w:val="32"/>
        </w:rPr>
        <w:fldChar w:fldCharType="end"/>
      </w:r>
      <w:r>
        <w:rPr>
          <w:rFonts w:ascii="仿宋" w:eastAsia="仿宋" w:hAnsi="仿宋" w:cs="仿宋" w:hint="eastAsia"/>
          <w:sz w:val="32"/>
          <w:szCs w:val="32"/>
        </w:rPr>
        <w:t>参赛作品知识产权归属 参赛作品的作者享有对所属大赛作品方案进行再设计、生产、销售、展示、出版和宣传等权利。大赛主办方对所有参赛作品拥有展示、推广和宣传等权利。其它任何单位和个人未经授权不得以任何形式对作品转让、复制、转载、传播、摘编、出版、发行、许可使用等。</w:t>
      </w:r>
    </w:p>
    <w:p w14:paraId="4850533C"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 3 \* GB3 </w:instrText>
      </w:r>
      <w:r>
        <w:rPr>
          <w:rFonts w:ascii="仿宋" w:eastAsia="仿宋" w:hAnsi="仿宋" w:cs="仿宋" w:hint="eastAsia"/>
          <w:sz w:val="32"/>
          <w:szCs w:val="32"/>
        </w:rPr>
        <w:fldChar w:fldCharType="separate"/>
      </w:r>
      <w:r>
        <w:rPr>
          <w:rFonts w:ascii="仿宋" w:eastAsia="仿宋" w:hAnsi="仿宋" w:cs="仿宋" w:hint="eastAsia"/>
          <w:sz w:val="32"/>
          <w:szCs w:val="32"/>
        </w:rPr>
        <w:t>③</w:t>
      </w:r>
      <w:r>
        <w:rPr>
          <w:rFonts w:ascii="仿宋" w:eastAsia="仿宋" w:hAnsi="仿宋" w:cs="仿宋" w:hint="eastAsia"/>
          <w:sz w:val="32"/>
          <w:szCs w:val="32"/>
        </w:rPr>
        <w:fldChar w:fldCharType="end"/>
      </w:r>
      <w:r>
        <w:rPr>
          <w:rFonts w:ascii="仿宋" w:eastAsia="仿宋" w:hAnsi="仿宋" w:cs="仿宋" w:hint="eastAsia"/>
          <w:sz w:val="32"/>
          <w:szCs w:val="32"/>
        </w:rPr>
        <w:t>所有参赛单位/个人报名时需提交相关设计版权所属</w:t>
      </w:r>
      <w:r>
        <w:rPr>
          <w:rFonts w:ascii="仿宋" w:eastAsia="仿宋" w:hAnsi="仿宋" w:cs="仿宋" w:hint="eastAsia"/>
          <w:sz w:val="32"/>
          <w:szCs w:val="32"/>
        </w:rPr>
        <w:lastRenderedPageBreak/>
        <w:t>证明，并仔细阅读以上内容，充分理解并表示同意本届大赛的组委会拥有对所有奖项的最终裁定权。</w:t>
      </w:r>
    </w:p>
    <w:p w14:paraId="4C9602C2" w14:textId="77777777" w:rsidR="0006470A" w:rsidRDefault="0006470A">
      <w:pPr>
        <w:ind w:leftChars="200" w:left="840" w:hangingChars="200" w:hanging="420"/>
        <w:rPr>
          <w:rFonts w:ascii="等线" w:eastAsia="等线" w:hAnsi="等线" w:cs="Times New Roman"/>
          <w:szCs w:val="22"/>
        </w:rPr>
      </w:pPr>
    </w:p>
    <w:p w14:paraId="31F49DC6" w14:textId="77777777" w:rsidR="0006470A" w:rsidRDefault="0006470A">
      <w:pPr>
        <w:rPr>
          <w:rFonts w:ascii="Times New Roman" w:eastAsia="黑体" w:hAnsi="Times New Roman" w:cs="Times New Roman"/>
          <w:bCs/>
          <w:sz w:val="32"/>
          <w:szCs w:val="32"/>
        </w:rPr>
      </w:pPr>
    </w:p>
    <w:p w14:paraId="105591D8" w14:textId="77777777" w:rsidR="0006470A" w:rsidRDefault="00000000">
      <w:pPr>
        <w:rPr>
          <w:rFonts w:ascii="Times New Roman" w:eastAsia="黑体" w:hAnsi="Times New Roman" w:cs="Times New Roman"/>
          <w:bCs/>
          <w:sz w:val="32"/>
          <w:szCs w:val="32"/>
        </w:rPr>
      </w:pPr>
      <w:r>
        <w:rPr>
          <w:rFonts w:ascii="Times New Roman" w:eastAsia="黑体" w:hAnsi="Times New Roman" w:cs="Times New Roman" w:hint="eastAsia"/>
          <w:bCs/>
          <w:sz w:val="32"/>
          <w:szCs w:val="32"/>
        </w:rPr>
        <w:t>附件：</w:t>
      </w:r>
    </w:p>
    <w:p w14:paraId="3DC8C7F0" w14:textId="77777777" w:rsidR="0006470A" w:rsidRDefault="00000000">
      <w:pPr>
        <w:jc w:val="center"/>
        <w:rPr>
          <w:rFonts w:ascii="Times New Roman" w:eastAsia="黑体" w:hAnsi="Times New Roman" w:cs="Times New Roman"/>
          <w:bCs/>
          <w:sz w:val="32"/>
          <w:szCs w:val="32"/>
        </w:rPr>
      </w:pPr>
      <w:r>
        <w:rPr>
          <w:rFonts w:ascii="Times New Roman" w:eastAsia="黑体" w:hAnsi="Times New Roman" w:cs="Times New Roman" w:hint="eastAsia"/>
          <w:bCs/>
          <w:sz w:val="32"/>
          <w:szCs w:val="32"/>
        </w:rPr>
        <w:t>包装营销创意比赛评分细则包装营销比赛</w:t>
      </w:r>
      <w:bookmarkStart w:id="0" w:name="_Hlk89513745"/>
      <w:r>
        <w:rPr>
          <w:rFonts w:ascii="Times New Roman" w:eastAsia="黑体" w:hAnsi="Times New Roman" w:cs="Times New Roman" w:hint="eastAsia"/>
          <w:bCs/>
          <w:sz w:val="32"/>
          <w:szCs w:val="32"/>
        </w:rPr>
        <w:t>评分细则</w:t>
      </w:r>
      <w:bookmarkEnd w:id="0"/>
    </w:p>
    <w:p w14:paraId="5AAB0C11"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1、作品设计</w:t>
      </w:r>
    </w:p>
    <w:p w14:paraId="6EFAC5C2"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、作品</w:t>
      </w:r>
      <w:r>
        <w:rPr>
          <w:rFonts w:ascii="仿宋" w:eastAsia="仿宋" w:hAnsi="仿宋" w:cs="仿宋"/>
          <w:sz w:val="32"/>
          <w:szCs w:val="32"/>
        </w:rPr>
        <w:t>符合大赛宗旨，</w:t>
      </w:r>
      <w:r>
        <w:rPr>
          <w:rFonts w:ascii="仿宋" w:eastAsia="仿宋" w:hAnsi="仿宋" w:cs="仿宋" w:hint="eastAsia"/>
          <w:sz w:val="32"/>
          <w:szCs w:val="32"/>
        </w:rPr>
        <w:t>紧扣</w:t>
      </w:r>
      <w:r>
        <w:rPr>
          <w:rFonts w:ascii="仿宋" w:eastAsia="仿宋" w:hAnsi="仿宋" w:cs="仿宋"/>
          <w:sz w:val="32"/>
          <w:szCs w:val="32"/>
        </w:rPr>
        <w:t>大赛主题；</w:t>
      </w:r>
    </w:p>
    <w:p w14:paraId="25819EA9"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节能、环保、</w:t>
      </w:r>
      <w:r>
        <w:rPr>
          <w:rFonts w:ascii="仿宋" w:eastAsia="仿宋" w:hAnsi="仿宋" w:cs="仿宋" w:hint="eastAsia"/>
          <w:sz w:val="32"/>
          <w:szCs w:val="32"/>
        </w:rPr>
        <w:t>低碳</w:t>
      </w:r>
      <w:r>
        <w:rPr>
          <w:rFonts w:ascii="仿宋" w:eastAsia="仿宋" w:hAnsi="仿宋" w:cs="仿宋"/>
          <w:sz w:val="32"/>
          <w:szCs w:val="32"/>
        </w:rPr>
        <w:t>和可持续发展原则；</w:t>
      </w:r>
    </w:p>
    <w:p w14:paraId="78B0848B"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具有酒类文化特色或体现地方白酒产品特色，风格鲜明；</w:t>
      </w:r>
    </w:p>
    <w:p w14:paraId="26D9CFD2"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突出艺术、工程与创意的结合，设计概念与方案独特新颖，表现时尚潮流；</w:t>
      </w:r>
    </w:p>
    <w:p w14:paraId="0D066091"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sz w:val="32"/>
          <w:szCs w:val="32"/>
        </w:rPr>
        <w:t>结构表达准确，搭配协调，版面安排妥当，具有独特的视觉综合表现力、设计美观大方、方便使用；</w:t>
      </w:r>
    </w:p>
    <w:p w14:paraId="48B353C5"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整体效果明显，注意设计面的表达与功能应用，材料运用及其功能结构科学、合理，适合批量生产制造；</w:t>
      </w:r>
    </w:p>
    <w:p w14:paraId="22A19624"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sz w:val="32"/>
          <w:szCs w:val="32"/>
        </w:rPr>
        <w:t>设计说明清晰、计算数据齐全、原理正确、技术方案可行；</w:t>
      </w:r>
    </w:p>
    <w:p w14:paraId="2C09BA4C"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w:t>
      </w:r>
      <w:r>
        <w:rPr>
          <w:rFonts w:ascii="仿宋" w:eastAsia="仿宋" w:hAnsi="仿宋" w:cs="仿宋"/>
          <w:sz w:val="32"/>
          <w:szCs w:val="32"/>
        </w:rPr>
        <w:t>适应市场需求，能提升产品品牌价值；</w:t>
      </w:r>
    </w:p>
    <w:p w14:paraId="0C3CB993"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w:t>
      </w:r>
      <w:r>
        <w:rPr>
          <w:rFonts w:ascii="仿宋" w:eastAsia="仿宋" w:hAnsi="仿宋" w:cs="仿宋"/>
          <w:sz w:val="32"/>
          <w:szCs w:val="32"/>
        </w:rPr>
        <w:t>作品符合人性化和生活实际</w:t>
      </w:r>
    </w:p>
    <w:p w14:paraId="10A7E637"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营销策划设计</w:t>
      </w:r>
    </w:p>
    <w:p w14:paraId="14378D19"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选题方案具有较好的创意，对</w:t>
      </w:r>
      <w:r>
        <w:rPr>
          <w:rFonts w:ascii="仿宋" w:eastAsia="仿宋" w:hAnsi="仿宋" w:cs="仿宋" w:hint="eastAsia"/>
          <w:sz w:val="32"/>
          <w:szCs w:val="32"/>
        </w:rPr>
        <w:t>五粮液品牌文化</w:t>
      </w:r>
      <w:r>
        <w:rPr>
          <w:rFonts w:ascii="仿宋" w:eastAsia="仿宋" w:hAnsi="仿宋" w:cs="仿宋"/>
          <w:sz w:val="32"/>
          <w:szCs w:val="32"/>
        </w:rPr>
        <w:t>具有现实的推广意义；</w:t>
      </w:r>
    </w:p>
    <w:p w14:paraId="322CA5A4"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市场分析</w:t>
      </w:r>
    </w:p>
    <w:p w14:paraId="75DB48D6"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lastRenderedPageBreak/>
        <w:t>A.企业的目标和任务：明确企业市场营销策划方案的重要目标；</w:t>
      </w:r>
    </w:p>
    <w:p w14:paraId="788625C9"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B.市场现状和策略：提供足够信息，真实反映实际情况；</w:t>
      </w:r>
    </w:p>
    <w:p w14:paraId="4D648D86"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C.主要竞争对手及其优劣势：明确界定竞争对手，并利用理论工具进行优劣势分析；</w:t>
      </w:r>
    </w:p>
    <w:p w14:paraId="2596311D"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D.外部环境分析：明确企业必须应对确定的外部要素是什么；</w:t>
      </w:r>
    </w:p>
    <w:p w14:paraId="0DE6DA70"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E.内部环境分析：展示具体数据，以确定目前和预期的市场份额；</w:t>
      </w:r>
    </w:p>
    <w:p w14:paraId="6C56B74D"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营销策略</w:t>
      </w:r>
    </w:p>
    <w:p w14:paraId="55C30327"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A.营销目标/预期收益标准：在销售额，客户渗透率，或客户的满意程度中列出目标；</w:t>
      </w:r>
    </w:p>
    <w:p w14:paraId="355CC483"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B.目标市场描述：向目标市场描述了客户决策过程的每个阶段；</w:t>
      </w:r>
    </w:p>
    <w:p w14:paraId="42EBAB28"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C.市场定位：针对目标市场，市场定位准确、合理，并能够体现差异性、排他性的原则；</w:t>
      </w:r>
    </w:p>
    <w:p w14:paraId="66120801" w14:textId="77777777" w:rsidR="0006470A" w:rsidRDefault="00000000">
      <w:pPr>
        <w:snapToGrid w:val="0"/>
        <w:spacing w:line="540" w:lineRule="atLeast"/>
        <w:ind w:firstLineChars="200" w:firstLine="640"/>
        <w:jc w:val="left"/>
        <w:textAlignment w:val="baseline"/>
        <w:rPr>
          <w:rFonts w:ascii="仿宋" w:eastAsia="仿宋" w:hAnsi="仿宋" w:cs="仿宋"/>
          <w:sz w:val="32"/>
          <w:szCs w:val="32"/>
        </w:rPr>
      </w:pPr>
      <w:r>
        <w:rPr>
          <w:rFonts w:ascii="仿宋" w:eastAsia="仿宋" w:hAnsi="仿宋" w:cs="仿宋"/>
          <w:sz w:val="32"/>
          <w:szCs w:val="32"/>
        </w:rPr>
        <w:t>D.营销组合描述：描述了适当的生命周期阶段，渠道成员明确描述每个阶段，并确定其职能；</w:t>
      </w:r>
    </w:p>
    <w:p w14:paraId="5CC9EC79" w14:textId="77777777" w:rsidR="0006470A" w:rsidRDefault="0006470A">
      <w:pPr>
        <w:widowControl/>
        <w:shd w:val="clear" w:color="auto" w:fill="FFFFFF"/>
        <w:spacing w:line="360" w:lineRule="auto"/>
        <w:ind w:right="629"/>
        <w:rPr>
          <w:rFonts w:ascii="宋体" w:eastAsia="宋体" w:hAnsi="宋体" w:cs="宋体"/>
          <w:color w:val="444444"/>
          <w:kern w:val="0"/>
          <w:sz w:val="24"/>
        </w:rPr>
      </w:pPr>
    </w:p>
    <w:p w14:paraId="4981BD31" w14:textId="77777777" w:rsidR="0006470A" w:rsidRDefault="00000000">
      <w:pPr>
        <w:widowControl/>
        <w:shd w:val="clear" w:color="auto" w:fill="FFFFFF"/>
        <w:spacing w:line="360" w:lineRule="auto"/>
        <w:jc w:val="center"/>
        <w:rPr>
          <w:rFonts w:ascii="仿宋" w:eastAsia="仿宋" w:hAnsi="仿宋" w:cs="宋体"/>
          <w:b/>
          <w:bCs/>
          <w:color w:val="444444"/>
          <w:kern w:val="0"/>
          <w:sz w:val="32"/>
          <w:szCs w:val="32"/>
        </w:rPr>
      </w:pPr>
      <w:r>
        <w:rPr>
          <w:rFonts w:ascii="仿宋" w:eastAsia="仿宋" w:hAnsi="仿宋" w:cs="宋体" w:hint="eastAsia"/>
          <w:b/>
          <w:bCs/>
          <w:color w:val="444444"/>
          <w:kern w:val="0"/>
          <w:sz w:val="32"/>
          <w:szCs w:val="32"/>
        </w:rPr>
        <w:t>路演答辩评分表</w:t>
      </w:r>
    </w:p>
    <w:tbl>
      <w:tblPr>
        <w:tblStyle w:val="3"/>
        <w:tblW w:w="5614" w:type="pct"/>
        <w:jc w:val="center"/>
        <w:tblInd w:w="0" w:type="dxa"/>
        <w:tblCellMar>
          <w:top w:w="0" w:type="dxa"/>
          <w:left w:w="108" w:type="dxa"/>
          <w:bottom w:w="0" w:type="dxa"/>
          <w:right w:w="108" w:type="dxa"/>
        </w:tblCellMar>
        <w:tblLook w:val="04A0" w:firstRow="1" w:lastRow="0" w:firstColumn="1" w:lastColumn="0" w:noHBand="0" w:noVBand="1"/>
      </w:tblPr>
      <w:tblGrid>
        <w:gridCol w:w="2117"/>
        <w:gridCol w:w="5125"/>
        <w:gridCol w:w="1122"/>
        <w:gridCol w:w="1158"/>
      </w:tblGrid>
      <w:tr w:rsidR="0006470A" w14:paraId="42D7BE21" w14:textId="77777777">
        <w:trPr>
          <w:jc w:val="center"/>
        </w:trPr>
        <w:tc>
          <w:tcPr>
            <w:tcW w:w="1112" w:type="pct"/>
            <w:vAlign w:val="center"/>
          </w:tcPr>
          <w:p w14:paraId="1143D579"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指标</w:t>
            </w:r>
          </w:p>
        </w:tc>
        <w:tc>
          <w:tcPr>
            <w:tcW w:w="2691" w:type="pct"/>
            <w:vAlign w:val="center"/>
          </w:tcPr>
          <w:p w14:paraId="7261402C"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指标说明</w:t>
            </w:r>
          </w:p>
        </w:tc>
        <w:tc>
          <w:tcPr>
            <w:tcW w:w="589" w:type="pct"/>
            <w:vAlign w:val="center"/>
          </w:tcPr>
          <w:p w14:paraId="17E7C130"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扣分</w:t>
            </w:r>
          </w:p>
        </w:tc>
        <w:tc>
          <w:tcPr>
            <w:tcW w:w="608" w:type="pct"/>
            <w:vAlign w:val="center"/>
          </w:tcPr>
          <w:p w14:paraId="30EB02D0"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得分</w:t>
            </w:r>
          </w:p>
        </w:tc>
      </w:tr>
      <w:tr w:rsidR="0006470A" w14:paraId="1FDF59F4" w14:textId="77777777">
        <w:trPr>
          <w:jc w:val="center"/>
        </w:trPr>
        <w:tc>
          <w:tcPr>
            <w:tcW w:w="1112" w:type="pct"/>
            <w:vMerge w:val="restart"/>
            <w:vAlign w:val="center"/>
          </w:tcPr>
          <w:p w14:paraId="69A5C649"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设计内容（30分）</w:t>
            </w:r>
          </w:p>
        </w:tc>
        <w:tc>
          <w:tcPr>
            <w:tcW w:w="2691" w:type="pct"/>
            <w:vAlign w:val="center"/>
          </w:tcPr>
          <w:p w14:paraId="17B4D79B"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主题准确，针对性强，重点突出（10分）</w:t>
            </w:r>
          </w:p>
        </w:tc>
        <w:tc>
          <w:tcPr>
            <w:tcW w:w="589" w:type="pct"/>
            <w:vAlign w:val="center"/>
          </w:tcPr>
          <w:p w14:paraId="0FC01D2B" w14:textId="77777777" w:rsidR="0006470A" w:rsidRDefault="0006470A">
            <w:pPr>
              <w:widowControl/>
              <w:spacing w:line="360" w:lineRule="auto"/>
              <w:ind w:right="-17"/>
              <w:rPr>
                <w:rFonts w:ascii="仿宋" w:eastAsia="仿宋" w:hAnsi="仿宋" w:cs="宋体"/>
                <w:color w:val="444444"/>
                <w:kern w:val="0"/>
                <w:sz w:val="32"/>
                <w:szCs w:val="32"/>
              </w:rPr>
            </w:pPr>
          </w:p>
        </w:tc>
        <w:tc>
          <w:tcPr>
            <w:tcW w:w="608" w:type="pct"/>
            <w:vAlign w:val="center"/>
          </w:tcPr>
          <w:p w14:paraId="582BB583" w14:textId="77777777" w:rsidR="0006470A" w:rsidRDefault="0006470A">
            <w:pPr>
              <w:widowControl/>
              <w:spacing w:line="360" w:lineRule="auto"/>
              <w:ind w:right="-17"/>
              <w:rPr>
                <w:rFonts w:ascii="仿宋" w:eastAsia="仿宋" w:hAnsi="仿宋" w:cs="宋体"/>
                <w:color w:val="444444"/>
                <w:kern w:val="0"/>
                <w:sz w:val="32"/>
                <w:szCs w:val="32"/>
              </w:rPr>
            </w:pPr>
          </w:p>
        </w:tc>
      </w:tr>
      <w:tr w:rsidR="0006470A" w14:paraId="3D8EA7FB" w14:textId="77777777">
        <w:trPr>
          <w:jc w:val="center"/>
        </w:trPr>
        <w:tc>
          <w:tcPr>
            <w:tcW w:w="1112" w:type="pct"/>
            <w:vMerge/>
            <w:vAlign w:val="center"/>
          </w:tcPr>
          <w:p w14:paraId="568AA6AD" w14:textId="77777777" w:rsidR="0006470A" w:rsidRDefault="0006470A">
            <w:pPr>
              <w:widowControl/>
              <w:spacing w:line="360" w:lineRule="auto"/>
              <w:ind w:right="-17"/>
              <w:rPr>
                <w:rFonts w:ascii="仿宋" w:eastAsia="仿宋" w:hAnsi="仿宋" w:cs="宋体"/>
                <w:color w:val="444444"/>
                <w:kern w:val="0"/>
                <w:sz w:val="32"/>
                <w:szCs w:val="32"/>
              </w:rPr>
            </w:pPr>
          </w:p>
        </w:tc>
        <w:tc>
          <w:tcPr>
            <w:tcW w:w="2691" w:type="pct"/>
            <w:vAlign w:val="center"/>
          </w:tcPr>
          <w:p w14:paraId="20292E2A"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内容正确，方案合理，符合生产实</w:t>
            </w:r>
            <w:r>
              <w:rPr>
                <w:rFonts w:ascii="仿宋" w:eastAsia="仿宋" w:hAnsi="仿宋" w:cs="宋体" w:hint="eastAsia"/>
                <w:color w:val="444444"/>
                <w:kern w:val="0"/>
                <w:sz w:val="32"/>
                <w:szCs w:val="32"/>
              </w:rPr>
              <w:lastRenderedPageBreak/>
              <w:t>际（10分）</w:t>
            </w:r>
          </w:p>
        </w:tc>
        <w:tc>
          <w:tcPr>
            <w:tcW w:w="589" w:type="pct"/>
            <w:vAlign w:val="center"/>
          </w:tcPr>
          <w:p w14:paraId="66DCC9A3" w14:textId="77777777" w:rsidR="0006470A" w:rsidRDefault="0006470A">
            <w:pPr>
              <w:widowControl/>
              <w:spacing w:line="360" w:lineRule="auto"/>
              <w:ind w:right="-17"/>
              <w:rPr>
                <w:rFonts w:ascii="仿宋" w:eastAsia="仿宋" w:hAnsi="仿宋" w:cs="宋体"/>
                <w:color w:val="444444"/>
                <w:kern w:val="0"/>
                <w:sz w:val="32"/>
                <w:szCs w:val="32"/>
              </w:rPr>
            </w:pPr>
          </w:p>
        </w:tc>
        <w:tc>
          <w:tcPr>
            <w:tcW w:w="608" w:type="pct"/>
            <w:vAlign w:val="center"/>
          </w:tcPr>
          <w:p w14:paraId="3F305DE3" w14:textId="77777777" w:rsidR="0006470A" w:rsidRDefault="0006470A">
            <w:pPr>
              <w:widowControl/>
              <w:spacing w:line="360" w:lineRule="auto"/>
              <w:ind w:right="-17"/>
              <w:rPr>
                <w:rFonts w:ascii="仿宋" w:eastAsia="仿宋" w:hAnsi="仿宋" w:cs="宋体"/>
                <w:color w:val="444444"/>
                <w:kern w:val="0"/>
                <w:sz w:val="32"/>
                <w:szCs w:val="32"/>
              </w:rPr>
            </w:pPr>
          </w:p>
        </w:tc>
      </w:tr>
      <w:tr w:rsidR="0006470A" w14:paraId="2DE67A60" w14:textId="77777777">
        <w:trPr>
          <w:jc w:val="center"/>
        </w:trPr>
        <w:tc>
          <w:tcPr>
            <w:tcW w:w="1112" w:type="pct"/>
            <w:vMerge/>
            <w:vAlign w:val="center"/>
          </w:tcPr>
          <w:p w14:paraId="24CF0BD9" w14:textId="77777777" w:rsidR="0006470A" w:rsidRDefault="0006470A">
            <w:pPr>
              <w:widowControl/>
              <w:spacing w:line="360" w:lineRule="auto"/>
              <w:ind w:right="-17"/>
              <w:rPr>
                <w:rFonts w:ascii="仿宋" w:eastAsia="仿宋" w:hAnsi="仿宋" w:cs="宋体"/>
                <w:color w:val="444444"/>
                <w:kern w:val="0"/>
                <w:sz w:val="32"/>
                <w:szCs w:val="32"/>
              </w:rPr>
            </w:pPr>
          </w:p>
        </w:tc>
        <w:tc>
          <w:tcPr>
            <w:tcW w:w="2691" w:type="pct"/>
            <w:vAlign w:val="center"/>
          </w:tcPr>
          <w:p w14:paraId="36063822"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内容具体、完整，逻辑性和系统性强（10分）</w:t>
            </w:r>
          </w:p>
        </w:tc>
        <w:tc>
          <w:tcPr>
            <w:tcW w:w="589" w:type="pct"/>
            <w:vAlign w:val="center"/>
          </w:tcPr>
          <w:p w14:paraId="27A441F3" w14:textId="77777777" w:rsidR="0006470A" w:rsidRDefault="0006470A">
            <w:pPr>
              <w:widowControl/>
              <w:spacing w:line="360" w:lineRule="auto"/>
              <w:ind w:right="-17"/>
              <w:rPr>
                <w:rFonts w:ascii="仿宋" w:eastAsia="仿宋" w:hAnsi="仿宋" w:cs="宋体"/>
                <w:color w:val="444444"/>
                <w:kern w:val="0"/>
                <w:sz w:val="32"/>
                <w:szCs w:val="32"/>
              </w:rPr>
            </w:pPr>
          </w:p>
        </w:tc>
        <w:tc>
          <w:tcPr>
            <w:tcW w:w="608" w:type="pct"/>
            <w:vAlign w:val="center"/>
          </w:tcPr>
          <w:p w14:paraId="6382D9B2" w14:textId="77777777" w:rsidR="0006470A" w:rsidRDefault="0006470A">
            <w:pPr>
              <w:widowControl/>
              <w:spacing w:line="360" w:lineRule="auto"/>
              <w:ind w:right="-17"/>
              <w:rPr>
                <w:rFonts w:ascii="仿宋" w:eastAsia="仿宋" w:hAnsi="仿宋" w:cs="宋体"/>
                <w:color w:val="444444"/>
                <w:kern w:val="0"/>
                <w:sz w:val="32"/>
                <w:szCs w:val="32"/>
              </w:rPr>
            </w:pPr>
          </w:p>
        </w:tc>
      </w:tr>
      <w:tr w:rsidR="0006470A" w14:paraId="6C597EC6" w14:textId="77777777">
        <w:trPr>
          <w:jc w:val="center"/>
        </w:trPr>
        <w:tc>
          <w:tcPr>
            <w:tcW w:w="1112" w:type="pct"/>
            <w:vAlign w:val="center"/>
          </w:tcPr>
          <w:p w14:paraId="7DF18040"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设计方法（10分）</w:t>
            </w:r>
          </w:p>
        </w:tc>
        <w:tc>
          <w:tcPr>
            <w:tcW w:w="2691" w:type="pct"/>
            <w:vAlign w:val="center"/>
          </w:tcPr>
          <w:p w14:paraId="34D20D1D"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设计方法合理，方案符合实际，方法运用科学严谨</w:t>
            </w:r>
          </w:p>
        </w:tc>
        <w:tc>
          <w:tcPr>
            <w:tcW w:w="589" w:type="pct"/>
            <w:vAlign w:val="center"/>
          </w:tcPr>
          <w:p w14:paraId="794DE0BB" w14:textId="77777777" w:rsidR="0006470A" w:rsidRDefault="0006470A">
            <w:pPr>
              <w:widowControl/>
              <w:spacing w:line="360" w:lineRule="auto"/>
              <w:ind w:right="-17"/>
              <w:rPr>
                <w:rFonts w:ascii="仿宋" w:eastAsia="仿宋" w:hAnsi="仿宋" w:cs="宋体"/>
                <w:color w:val="444444"/>
                <w:kern w:val="0"/>
                <w:sz w:val="32"/>
                <w:szCs w:val="32"/>
              </w:rPr>
            </w:pPr>
          </w:p>
        </w:tc>
        <w:tc>
          <w:tcPr>
            <w:tcW w:w="608" w:type="pct"/>
            <w:vAlign w:val="center"/>
          </w:tcPr>
          <w:p w14:paraId="3BB365E9" w14:textId="77777777" w:rsidR="0006470A" w:rsidRDefault="0006470A">
            <w:pPr>
              <w:widowControl/>
              <w:spacing w:line="360" w:lineRule="auto"/>
              <w:ind w:right="-17"/>
              <w:rPr>
                <w:rFonts w:ascii="仿宋" w:eastAsia="仿宋" w:hAnsi="仿宋" w:cs="宋体"/>
                <w:color w:val="444444"/>
                <w:kern w:val="0"/>
                <w:sz w:val="32"/>
                <w:szCs w:val="32"/>
              </w:rPr>
            </w:pPr>
          </w:p>
        </w:tc>
      </w:tr>
      <w:tr w:rsidR="0006470A" w14:paraId="4CE39159" w14:textId="77777777">
        <w:trPr>
          <w:jc w:val="center"/>
        </w:trPr>
        <w:tc>
          <w:tcPr>
            <w:tcW w:w="1112" w:type="pct"/>
            <w:vAlign w:val="center"/>
          </w:tcPr>
          <w:p w14:paraId="406157AF"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创新与应用（10分）</w:t>
            </w:r>
          </w:p>
        </w:tc>
        <w:tc>
          <w:tcPr>
            <w:tcW w:w="2691" w:type="pct"/>
            <w:vAlign w:val="center"/>
          </w:tcPr>
          <w:p w14:paraId="716DA1D3"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符合企业实际情况，具有一定的创新，能实现转化，对企业有一定的应用价值或解决一定的问题。</w:t>
            </w:r>
          </w:p>
        </w:tc>
        <w:tc>
          <w:tcPr>
            <w:tcW w:w="589" w:type="pct"/>
            <w:vAlign w:val="center"/>
          </w:tcPr>
          <w:p w14:paraId="15E5FFE9" w14:textId="77777777" w:rsidR="0006470A" w:rsidRDefault="0006470A">
            <w:pPr>
              <w:widowControl/>
              <w:spacing w:line="360" w:lineRule="auto"/>
              <w:ind w:right="-17"/>
              <w:rPr>
                <w:rFonts w:ascii="仿宋" w:eastAsia="仿宋" w:hAnsi="仿宋" w:cs="宋体"/>
                <w:color w:val="444444"/>
                <w:kern w:val="0"/>
                <w:sz w:val="32"/>
                <w:szCs w:val="32"/>
              </w:rPr>
            </w:pPr>
          </w:p>
        </w:tc>
        <w:tc>
          <w:tcPr>
            <w:tcW w:w="608" w:type="pct"/>
            <w:vAlign w:val="center"/>
          </w:tcPr>
          <w:p w14:paraId="3397429F" w14:textId="77777777" w:rsidR="0006470A" w:rsidRDefault="0006470A">
            <w:pPr>
              <w:widowControl/>
              <w:spacing w:line="360" w:lineRule="auto"/>
              <w:ind w:right="-17"/>
              <w:rPr>
                <w:rFonts w:ascii="仿宋" w:eastAsia="仿宋" w:hAnsi="仿宋" w:cs="宋体"/>
                <w:color w:val="444444"/>
                <w:kern w:val="0"/>
                <w:sz w:val="32"/>
                <w:szCs w:val="32"/>
              </w:rPr>
            </w:pPr>
          </w:p>
        </w:tc>
      </w:tr>
      <w:tr w:rsidR="0006470A" w14:paraId="413B975D" w14:textId="77777777">
        <w:trPr>
          <w:jc w:val="center"/>
        </w:trPr>
        <w:tc>
          <w:tcPr>
            <w:tcW w:w="1112" w:type="pct"/>
            <w:vAlign w:val="center"/>
          </w:tcPr>
          <w:p w14:paraId="514BD707"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表现能力（10分）</w:t>
            </w:r>
          </w:p>
        </w:tc>
        <w:tc>
          <w:tcPr>
            <w:tcW w:w="2691" w:type="pct"/>
            <w:vAlign w:val="center"/>
          </w:tcPr>
          <w:p w14:paraId="6584FD42"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合理、规范应用文字和非文字要素，如表格、软件、视频等，提交评审材料齐全、美观，表现力强。</w:t>
            </w:r>
          </w:p>
        </w:tc>
        <w:tc>
          <w:tcPr>
            <w:tcW w:w="589" w:type="pct"/>
            <w:vAlign w:val="center"/>
          </w:tcPr>
          <w:p w14:paraId="39F4C563" w14:textId="77777777" w:rsidR="0006470A" w:rsidRDefault="0006470A">
            <w:pPr>
              <w:widowControl/>
              <w:spacing w:line="360" w:lineRule="auto"/>
              <w:ind w:right="-17"/>
              <w:rPr>
                <w:rFonts w:ascii="仿宋" w:eastAsia="仿宋" w:hAnsi="仿宋" w:cs="宋体"/>
                <w:color w:val="444444"/>
                <w:kern w:val="0"/>
                <w:sz w:val="32"/>
                <w:szCs w:val="32"/>
              </w:rPr>
            </w:pPr>
          </w:p>
        </w:tc>
        <w:tc>
          <w:tcPr>
            <w:tcW w:w="608" w:type="pct"/>
            <w:vAlign w:val="center"/>
          </w:tcPr>
          <w:p w14:paraId="7E453CD4" w14:textId="77777777" w:rsidR="0006470A" w:rsidRDefault="0006470A">
            <w:pPr>
              <w:widowControl/>
              <w:spacing w:line="360" w:lineRule="auto"/>
              <w:ind w:right="-17"/>
              <w:rPr>
                <w:rFonts w:ascii="仿宋" w:eastAsia="仿宋" w:hAnsi="仿宋" w:cs="宋体"/>
                <w:color w:val="444444"/>
                <w:kern w:val="0"/>
                <w:sz w:val="32"/>
                <w:szCs w:val="32"/>
              </w:rPr>
            </w:pPr>
          </w:p>
        </w:tc>
      </w:tr>
      <w:tr w:rsidR="0006470A" w14:paraId="2398CBB3" w14:textId="77777777">
        <w:trPr>
          <w:jc w:val="center"/>
        </w:trPr>
        <w:tc>
          <w:tcPr>
            <w:tcW w:w="1112" w:type="pct"/>
            <w:vMerge w:val="restart"/>
            <w:vAlign w:val="center"/>
          </w:tcPr>
          <w:p w14:paraId="262A987D"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现场表现（40分）</w:t>
            </w:r>
          </w:p>
        </w:tc>
        <w:tc>
          <w:tcPr>
            <w:tcW w:w="2691" w:type="pct"/>
            <w:vAlign w:val="center"/>
          </w:tcPr>
          <w:p w14:paraId="4B28B4BF"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表述：P</w:t>
            </w:r>
            <w:r>
              <w:rPr>
                <w:rFonts w:ascii="仿宋" w:eastAsia="仿宋" w:hAnsi="仿宋" w:cs="宋体"/>
                <w:color w:val="444444"/>
                <w:kern w:val="0"/>
                <w:sz w:val="32"/>
                <w:szCs w:val="32"/>
              </w:rPr>
              <w:t>PT</w:t>
            </w:r>
            <w:r>
              <w:rPr>
                <w:rFonts w:ascii="仿宋" w:eastAsia="仿宋" w:hAnsi="仿宋" w:cs="宋体" w:hint="eastAsia"/>
                <w:color w:val="444444"/>
                <w:kern w:val="0"/>
                <w:sz w:val="32"/>
                <w:szCs w:val="32"/>
              </w:rPr>
              <w:t>制作精美、表现形式丰富，表达清晰、准确、流畅；（15分）</w:t>
            </w:r>
          </w:p>
        </w:tc>
        <w:tc>
          <w:tcPr>
            <w:tcW w:w="589" w:type="pct"/>
            <w:vAlign w:val="center"/>
          </w:tcPr>
          <w:p w14:paraId="73AAEC35" w14:textId="77777777" w:rsidR="0006470A" w:rsidRDefault="0006470A">
            <w:pPr>
              <w:widowControl/>
              <w:spacing w:line="360" w:lineRule="auto"/>
              <w:ind w:right="-17"/>
              <w:rPr>
                <w:rFonts w:ascii="仿宋" w:eastAsia="仿宋" w:hAnsi="仿宋" w:cs="宋体"/>
                <w:color w:val="444444"/>
                <w:kern w:val="0"/>
                <w:sz w:val="32"/>
                <w:szCs w:val="32"/>
              </w:rPr>
            </w:pPr>
          </w:p>
        </w:tc>
        <w:tc>
          <w:tcPr>
            <w:tcW w:w="608" w:type="pct"/>
            <w:vAlign w:val="center"/>
          </w:tcPr>
          <w:p w14:paraId="7F34B1E0" w14:textId="77777777" w:rsidR="0006470A" w:rsidRDefault="0006470A">
            <w:pPr>
              <w:widowControl/>
              <w:spacing w:line="360" w:lineRule="auto"/>
              <w:ind w:right="-17"/>
              <w:rPr>
                <w:rFonts w:ascii="仿宋" w:eastAsia="仿宋" w:hAnsi="仿宋" w:cs="宋体"/>
                <w:color w:val="444444"/>
                <w:kern w:val="0"/>
                <w:sz w:val="32"/>
                <w:szCs w:val="32"/>
              </w:rPr>
            </w:pPr>
          </w:p>
        </w:tc>
      </w:tr>
      <w:tr w:rsidR="0006470A" w14:paraId="33E5AEF8" w14:textId="77777777">
        <w:trPr>
          <w:jc w:val="center"/>
        </w:trPr>
        <w:tc>
          <w:tcPr>
            <w:tcW w:w="1112" w:type="pct"/>
            <w:vMerge/>
            <w:vAlign w:val="center"/>
          </w:tcPr>
          <w:p w14:paraId="37CB461A" w14:textId="77777777" w:rsidR="0006470A" w:rsidRDefault="0006470A">
            <w:pPr>
              <w:widowControl/>
              <w:spacing w:line="360" w:lineRule="auto"/>
              <w:ind w:right="-17"/>
              <w:rPr>
                <w:rFonts w:ascii="仿宋" w:eastAsia="仿宋" w:hAnsi="仿宋" w:cs="宋体"/>
                <w:color w:val="444444"/>
                <w:kern w:val="0"/>
                <w:sz w:val="32"/>
                <w:szCs w:val="32"/>
              </w:rPr>
            </w:pPr>
          </w:p>
        </w:tc>
        <w:tc>
          <w:tcPr>
            <w:tcW w:w="2691" w:type="pct"/>
            <w:vAlign w:val="center"/>
          </w:tcPr>
          <w:p w14:paraId="0C4D3681"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时间控制准确，无拖延。（5分）</w:t>
            </w:r>
          </w:p>
        </w:tc>
        <w:tc>
          <w:tcPr>
            <w:tcW w:w="589" w:type="pct"/>
            <w:vAlign w:val="center"/>
          </w:tcPr>
          <w:p w14:paraId="0930AB4A" w14:textId="77777777" w:rsidR="0006470A" w:rsidRDefault="0006470A">
            <w:pPr>
              <w:widowControl/>
              <w:spacing w:line="360" w:lineRule="auto"/>
              <w:ind w:right="-17"/>
              <w:rPr>
                <w:rFonts w:ascii="仿宋" w:eastAsia="仿宋" w:hAnsi="仿宋" w:cs="宋体"/>
                <w:color w:val="444444"/>
                <w:kern w:val="0"/>
                <w:sz w:val="32"/>
                <w:szCs w:val="32"/>
              </w:rPr>
            </w:pPr>
          </w:p>
        </w:tc>
        <w:tc>
          <w:tcPr>
            <w:tcW w:w="608" w:type="pct"/>
            <w:vAlign w:val="center"/>
          </w:tcPr>
          <w:p w14:paraId="2B27E0BE" w14:textId="77777777" w:rsidR="0006470A" w:rsidRDefault="0006470A">
            <w:pPr>
              <w:widowControl/>
              <w:spacing w:line="360" w:lineRule="auto"/>
              <w:ind w:right="-17"/>
              <w:rPr>
                <w:rFonts w:ascii="仿宋" w:eastAsia="仿宋" w:hAnsi="仿宋" w:cs="宋体"/>
                <w:color w:val="444444"/>
                <w:kern w:val="0"/>
                <w:sz w:val="32"/>
                <w:szCs w:val="32"/>
              </w:rPr>
            </w:pPr>
          </w:p>
        </w:tc>
      </w:tr>
      <w:tr w:rsidR="0006470A" w14:paraId="12CD4078" w14:textId="77777777">
        <w:trPr>
          <w:jc w:val="center"/>
        </w:trPr>
        <w:tc>
          <w:tcPr>
            <w:tcW w:w="1112" w:type="pct"/>
            <w:vMerge/>
            <w:vAlign w:val="center"/>
          </w:tcPr>
          <w:p w14:paraId="0D7620AF" w14:textId="77777777" w:rsidR="0006470A" w:rsidRDefault="0006470A">
            <w:pPr>
              <w:widowControl/>
              <w:spacing w:line="360" w:lineRule="auto"/>
              <w:ind w:right="-17"/>
              <w:rPr>
                <w:rFonts w:ascii="仿宋" w:eastAsia="仿宋" w:hAnsi="仿宋" w:cs="宋体"/>
                <w:color w:val="444444"/>
                <w:kern w:val="0"/>
                <w:sz w:val="32"/>
                <w:szCs w:val="32"/>
              </w:rPr>
            </w:pPr>
          </w:p>
        </w:tc>
        <w:tc>
          <w:tcPr>
            <w:tcW w:w="2691" w:type="pct"/>
            <w:vAlign w:val="center"/>
          </w:tcPr>
          <w:p w14:paraId="07D0A315"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准确理解评委的提问、反应机敏，回答准确（15分）</w:t>
            </w:r>
          </w:p>
        </w:tc>
        <w:tc>
          <w:tcPr>
            <w:tcW w:w="589" w:type="pct"/>
            <w:vAlign w:val="center"/>
          </w:tcPr>
          <w:p w14:paraId="6A0D175F" w14:textId="77777777" w:rsidR="0006470A" w:rsidRDefault="0006470A">
            <w:pPr>
              <w:widowControl/>
              <w:spacing w:line="360" w:lineRule="auto"/>
              <w:ind w:right="-17"/>
              <w:rPr>
                <w:rFonts w:ascii="仿宋" w:eastAsia="仿宋" w:hAnsi="仿宋" w:cs="宋体"/>
                <w:color w:val="444444"/>
                <w:kern w:val="0"/>
                <w:sz w:val="32"/>
                <w:szCs w:val="32"/>
              </w:rPr>
            </w:pPr>
          </w:p>
        </w:tc>
        <w:tc>
          <w:tcPr>
            <w:tcW w:w="608" w:type="pct"/>
            <w:vAlign w:val="center"/>
          </w:tcPr>
          <w:p w14:paraId="134680F0" w14:textId="77777777" w:rsidR="0006470A" w:rsidRDefault="0006470A">
            <w:pPr>
              <w:widowControl/>
              <w:spacing w:line="360" w:lineRule="auto"/>
              <w:ind w:right="-17"/>
              <w:rPr>
                <w:rFonts w:ascii="仿宋" w:eastAsia="仿宋" w:hAnsi="仿宋" w:cs="宋体"/>
                <w:color w:val="444444"/>
                <w:kern w:val="0"/>
                <w:sz w:val="32"/>
                <w:szCs w:val="32"/>
              </w:rPr>
            </w:pPr>
          </w:p>
        </w:tc>
      </w:tr>
      <w:tr w:rsidR="0006470A" w14:paraId="666B5A29" w14:textId="77777777">
        <w:trPr>
          <w:jc w:val="center"/>
        </w:trPr>
        <w:tc>
          <w:tcPr>
            <w:tcW w:w="1112" w:type="pct"/>
            <w:vMerge/>
            <w:vAlign w:val="center"/>
          </w:tcPr>
          <w:p w14:paraId="672F07CB" w14:textId="77777777" w:rsidR="0006470A" w:rsidRDefault="0006470A">
            <w:pPr>
              <w:widowControl/>
              <w:spacing w:line="360" w:lineRule="auto"/>
              <w:ind w:right="-17"/>
              <w:rPr>
                <w:rFonts w:ascii="仿宋" w:eastAsia="仿宋" w:hAnsi="仿宋" w:cs="宋体"/>
                <w:color w:val="444444"/>
                <w:kern w:val="0"/>
                <w:sz w:val="32"/>
                <w:szCs w:val="32"/>
              </w:rPr>
            </w:pPr>
          </w:p>
        </w:tc>
        <w:tc>
          <w:tcPr>
            <w:tcW w:w="2691" w:type="pct"/>
            <w:vAlign w:val="center"/>
          </w:tcPr>
          <w:p w14:paraId="124AEC89" w14:textId="77777777" w:rsidR="0006470A" w:rsidRDefault="00000000">
            <w:pPr>
              <w:widowControl/>
              <w:spacing w:line="360" w:lineRule="auto"/>
              <w:ind w:right="-17"/>
              <w:rPr>
                <w:rFonts w:ascii="仿宋" w:eastAsia="仿宋" w:hAnsi="仿宋" w:cs="宋体"/>
                <w:color w:val="444444"/>
                <w:kern w:val="0"/>
                <w:sz w:val="32"/>
                <w:szCs w:val="32"/>
              </w:rPr>
            </w:pPr>
            <w:r>
              <w:rPr>
                <w:rFonts w:ascii="仿宋" w:eastAsia="仿宋" w:hAnsi="仿宋" w:cs="宋体" w:hint="eastAsia"/>
                <w:color w:val="444444"/>
                <w:kern w:val="0"/>
                <w:sz w:val="32"/>
                <w:szCs w:val="32"/>
              </w:rPr>
              <w:t>仪表端庄，精神饱满，配合默契，协作高效，有照片为证（5分）</w:t>
            </w:r>
          </w:p>
        </w:tc>
        <w:tc>
          <w:tcPr>
            <w:tcW w:w="589" w:type="pct"/>
            <w:vAlign w:val="center"/>
          </w:tcPr>
          <w:p w14:paraId="5F610BED" w14:textId="77777777" w:rsidR="0006470A" w:rsidRDefault="0006470A">
            <w:pPr>
              <w:widowControl/>
              <w:spacing w:line="360" w:lineRule="auto"/>
              <w:ind w:right="-17"/>
              <w:rPr>
                <w:rFonts w:ascii="仿宋" w:eastAsia="仿宋" w:hAnsi="仿宋" w:cs="宋体"/>
                <w:color w:val="444444"/>
                <w:kern w:val="0"/>
                <w:sz w:val="32"/>
                <w:szCs w:val="32"/>
              </w:rPr>
            </w:pPr>
          </w:p>
        </w:tc>
        <w:tc>
          <w:tcPr>
            <w:tcW w:w="608" w:type="pct"/>
            <w:vAlign w:val="center"/>
          </w:tcPr>
          <w:p w14:paraId="291359DE" w14:textId="77777777" w:rsidR="0006470A" w:rsidRDefault="0006470A">
            <w:pPr>
              <w:widowControl/>
              <w:spacing w:line="360" w:lineRule="auto"/>
              <w:ind w:right="-17"/>
              <w:rPr>
                <w:rFonts w:ascii="仿宋" w:eastAsia="仿宋" w:hAnsi="仿宋" w:cs="宋体"/>
                <w:color w:val="444444"/>
                <w:kern w:val="0"/>
                <w:sz w:val="32"/>
                <w:szCs w:val="32"/>
              </w:rPr>
            </w:pPr>
          </w:p>
        </w:tc>
      </w:tr>
    </w:tbl>
    <w:p w14:paraId="3F6EBFCB" w14:textId="77777777" w:rsidR="0006470A" w:rsidRDefault="0006470A">
      <w:pPr>
        <w:rPr>
          <w:rFonts w:ascii="Calibri" w:eastAsia="宋体" w:hAnsi="Calibri" w:cs="Times New Roman"/>
          <w:szCs w:val="22"/>
        </w:rPr>
      </w:pPr>
    </w:p>
    <w:p w14:paraId="16C0B3FA" w14:textId="77777777" w:rsidR="0006470A" w:rsidRDefault="0006470A">
      <w:pPr>
        <w:rPr>
          <w:rFonts w:ascii="Times New Roman" w:eastAsia="宋体" w:hAnsi="Times New Roman" w:cs="Times New Roman"/>
          <w:color w:val="000000"/>
        </w:rPr>
      </w:pPr>
    </w:p>
    <w:p w14:paraId="79C54081" w14:textId="77777777" w:rsidR="0006470A" w:rsidRDefault="0006470A"/>
    <w:sectPr w:rsidR="0006470A">
      <w:pgSz w:w="11906" w:h="16838"/>
      <w:pgMar w:top="1440" w:right="1841"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RhOTVmNTMxMWUzYTJjMjAwOTNjZTM5N2IzOTAyYzYifQ=="/>
  </w:docVars>
  <w:rsids>
    <w:rsidRoot w:val="0006470A"/>
    <w:rsid w:val="0006470A"/>
    <w:rsid w:val="00F37BF2"/>
    <w:rsid w:val="25B17AD8"/>
    <w:rsid w:val="3F045F6E"/>
    <w:rsid w:val="49166138"/>
    <w:rsid w:val="6167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7556D"/>
  <w15:docId w15:val="{C372A759-2EA5-4FE1-ADC4-30BB5CA9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网格型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70F7-4A63-4EB2-A9AA-06176B16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xxj</dc:creator>
  <cp:lastModifiedBy>996480862@qq.com</cp:lastModifiedBy>
  <cp:revision>2</cp:revision>
  <dcterms:created xsi:type="dcterms:W3CDTF">2022-10-24T09:38:00Z</dcterms:created>
  <dcterms:modified xsi:type="dcterms:W3CDTF">2022-11-03T03:50:00Z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DF5B486FCC0B44FDA2DC6C679F36EDB0</vt:lpwstr>
  </property>
</Properties>
</file>